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40" w:rsidRPr="000A6D29" w:rsidRDefault="00AB4D40" w:rsidP="008F05C2">
      <w:pPr>
        <w:spacing w:after="200" w:line="276" w:lineRule="auto"/>
        <w:jc w:val="both"/>
        <w:rPr>
          <w:i/>
          <w:sz w:val="28"/>
          <w:szCs w:val="28"/>
        </w:rPr>
      </w:pPr>
      <w:r w:rsidRPr="00AB4D40">
        <w:rPr>
          <w:i/>
          <w:sz w:val="28"/>
          <w:szCs w:val="28"/>
        </w:rPr>
        <w:t>Ottimi risultati e grandi vantaggi per chi sceglie Zenit SGR.</w:t>
      </w:r>
    </w:p>
    <w:p w:rsidR="00903FC1" w:rsidRDefault="00AC676F" w:rsidP="008F05C2">
      <w:pPr>
        <w:spacing w:after="200" w:line="276" w:lineRule="auto"/>
        <w:jc w:val="both"/>
        <w:rPr>
          <w:sz w:val="28"/>
          <w:szCs w:val="28"/>
        </w:rPr>
      </w:pPr>
      <w:r w:rsidRPr="00AC676F">
        <w:rPr>
          <w:sz w:val="28"/>
          <w:szCs w:val="28"/>
        </w:rPr>
        <w:pict>
          <v:shape id="_x0000_i1025" type="#_x0000_t75" style="width:460.5pt;height:307.5pt">
            <v:imagedata r:id="rId5" o:title="people-g9fa9dbe57_1920"/>
          </v:shape>
        </w:pict>
      </w:r>
    </w:p>
    <w:p w:rsidR="00AC77DE" w:rsidRDefault="00E60013" w:rsidP="008F05C2">
      <w:pPr>
        <w:spacing w:after="200" w:line="276" w:lineRule="auto"/>
        <w:jc w:val="both"/>
        <w:rPr>
          <w:sz w:val="28"/>
          <w:szCs w:val="28"/>
        </w:rPr>
      </w:pPr>
      <w:r w:rsidRPr="0085224A">
        <w:rPr>
          <w:sz w:val="28"/>
          <w:szCs w:val="28"/>
        </w:rPr>
        <w:t xml:space="preserve">L’anno 2021 si chiude in modo </w:t>
      </w:r>
      <w:r w:rsidRPr="00AB4D40">
        <w:rPr>
          <w:b/>
          <w:sz w:val="28"/>
          <w:szCs w:val="28"/>
        </w:rPr>
        <w:t xml:space="preserve">decisamente </w:t>
      </w:r>
      <w:r w:rsidR="00AB4D40" w:rsidRPr="00AB4D40">
        <w:rPr>
          <w:b/>
          <w:sz w:val="28"/>
          <w:szCs w:val="28"/>
        </w:rPr>
        <w:t>proficuo</w:t>
      </w:r>
      <w:r w:rsidRPr="0085224A">
        <w:rPr>
          <w:sz w:val="28"/>
          <w:szCs w:val="28"/>
        </w:rPr>
        <w:t xml:space="preserve"> per i fondi </w:t>
      </w:r>
      <w:r w:rsidR="00AB4D40">
        <w:rPr>
          <w:sz w:val="28"/>
          <w:szCs w:val="28"/>
        </w:rPr>
        <w:t xml:space="preserve">comuni di investimento </w:t>
      </w:r>
      <w:r w:rsidRPr="0085224A">
        <w:rPr>
          <w:sz w:val="28"/>
          <w:szCs w:val="28"/>
        </w:rPr>
        <w:t xml:space="preserve">gestiti da Zenit SGR, con tutti i cinque prodotti della nostra offerta </w:t>
      </w:r>
      <w:r w:rsidR="00E01E0F">
        <w:rPr>
          <w:sz w:val="28"/>
          <w:szCs w:val="28"/>
        </w:rPr>
        <w:t xml:space="preserve">che registrano </w:t>
      </w:r>
      <w:r w:rsidR="00E01E0F" w:rsidRPr="00AB4D40">
        <w:rPr>
          <w:b/>
          <w:sz w:val="28"/>
          <w:szCs w:val="28"/>
        </w:rPr>
        <w:t xml:space="preserve">performance </w:t>
      </w:r>
      <w:r w:rsidR="00AC77DE" w:rsidRPr="00AB4D40">
        <w:rPr>
          <w:b/>
          <w:sz w:val="28"/>
          <w:szCs w:val="28"/>
        </w:rPr>
        <w:t xml:space="preserve">largamente </w:t>
      </w:r>
      <w:r w:rsidR="00BB405B" w:rsidRPr="00AB4D40">
        <w:rPr>
          <w:b/>
          <w:sz w:val="28"/>
          <w:szCs w:val="28"/>
        </w:rPr>
        <w:t>positive</w:t>
      </w:r>
      <w:r w:rsidR="00E01E0F">
        <w:rPr>
          <w:sz w:val="28"/>
          <w:szCs w:val="28"/>
        </w:rPr>
        <w:t>, a partire da</w:t>
      </w:r>
      <w:r w:rsidR="008B7DE8">
        <w:rPr>
          <w:sz w:val="28"/>
          <w:szCs w:val="28"/>
        </w:rPr>
        <w:t>l 27% di</w:t>
      </w:r>
      <w:r w:rsidR="00E01E0F">
        <w:rPr>
          <w:sz w:val="28"/>
          <w:szCs w:val="28"/>
        </w:rPr>
        <w:t xml:space="preserve"> Zenit Pianeta Italia PIR </w:t>
      </w:r>
      <w:r w:rsidR="008B7DE8">
        <w:rPr>
          <w:sz w:val="28"/>
          <w:szCs w:val="28"/>
        </w:rPr>
        <w:t>classe I</w:t>
      </w:r>
      <w:r w:rsidR="00447A18">
        <w:rPr>
          <w:sz w:val="28"/>
          <w:szCs w:val="28"/>
        </w:rPr>
        <w:t>, seguito da</w:t>
      </w:r>
      <w:r w:rsidR="008B7DE8">
        <w:rPr>
          <w:sz w:val="28"/>
          <w:szCs w:val="28"/>
        </w:rPr>
        <w:t>l quasi 21% di</w:t>
      </w:r>
      <w:r w:rsidR="00447A18">
        <w:rPr>
          <w:sz w:val="28"/>
          <w:szCs w:val="28"/>
        </w:rPr>
        <w:t xml:space="preserve"> Zenit Megatrend </w:t>
      </w:r>
      <w:r w:rsidR="008B7DE8">
        <w:rPr>
          <w:sz w:val="28"/>
          <w:szCs w:val="28"/>
        </w:rPr>
        <w:t>classe I</w:t>
      </w:r>
      <w:r w:rsidR="00B1655F">
        <w:rPr>
          <w:sz w:val="28"/>
          <w:szCs w:val="28"/>
        </w:rPr>
        <w:t xml:space="preserve">. </w:t>
      </w:r>
      <w:r w:rsidR="00AB4D40">
        <w:rPr>
          <w:sz w:val="28"/>
          <w:szCs w:val="28"/>
        </w:rPr>
        <w:t>U</w:t>
      </w:r>
      <w:r w:rsidR="00B1655F">
        <w:rPr>
          <w:sz w:val="28"/>
          <w:szCs w:val="28"/>
        </w:rPr>
        <w:t>n portafoglio</w:t>
      </w:r>
      <w:r w:rsidR="00ED2F16">
        <w:rPr>
          <w:sz w:val="28"/>
          <w:szCs w:val="28"/>
        </w:rPr>
        <w:t xml:space="preserve"> con profilo bilanciato</w:t>
      </w:r>
      <w:r w:rsidR="00B1655F">
        <w:rPr>
          <w:sz w:val="28"/>
          <w:szCs w:val="28"/>
        </w:rPr>
        <w:t xml:space="preserve"> investito </w:t>
      </w:r>
      <w:r w:rsidR="00ED2F16">
        <w:rPr>
          <w:sz w:val="28"/>
          <w:szCs w:val="28"/>
        </w:rPr>
        <w:t xml:space="preserve">in ugual misura nei cinque fondi avrebbe conseguito un rendimento complessivo del </w:t>
      </w:r>
      <w:r w:rsidR="00ED2F16" w:rsidRPr="00AB4D40">
        <w:rPr>
          <w:b/>
          <w:sz w:val="28"/>
          <w:szCs w:val="28"/>
        </w:rPr>
        <w:t>12,50%</w:t>
      </w:r>
      <w:r w:rsidR="00ED2F16">
        <w:rPr>
          <w:sz w:val="28"/>
          <w:szCs w:val="28"/>
        </w:rPr>
        <w:t xml:space="preserve"> circa.</w:t>
      </w:r>
    </w:p>
    <w:p w:rsidR="00AC77DE" w:rsidRDefault="008B7DE8" w:rsidP="008F05C2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Al di là dei rendimenti assoluti, largamente influenzati dal</w:t>
      </w:r>
      <w:r w:rsidR="00341B69">
        <w:rPr>
          <w:sz w:val="28"/>
          <w:szCs w:val="28"/>
        </w:rPr>
        <w:t>la crescita dei</w:t>
      </w:r>
      <w:r>
        <w:rPr>
          <w:sz w:val="28"/>
          <w:szCs w:val="28"/>
        </w:rPr>
        <w:t xml:space="preserve"> mercati azionari, </w:t>
      </w:r>
      <w:r w:rsidR="00341B69">
        <w:rPr>
          <w:sz w:val="28"/>
          <w:szCs w:val="28"/>
        </w:rPr>
        <w:t>s</w:t>
      </w:r>
      <w:r w:rsidR="00BB405B" w:rsidRPr="0085224A">
        <w:rPr>
          <w:sz w:val="28"/>
          <w:szCs w:val="28"/>
        </w:rPr>
        <w:t>piccano</w:t>
      </w:r>
      <w:r w:rsidR="00AC77DE">
        <w:rPr>
          <w:sz w:val="28"/>
          <w:szCs w:val="28"/>
        </w:rPr>
        <w:t xml:space="preserve"> in termini relativi</w:t>
      </w:r>
      <w:r w:rsidR="00BB405B" w:rsidRPr="0085224A">
        <w:rPr>
          <w:sz w:val="28"/>
          <w:szCs w:val="28"/>
        </w:rPr>
        <w:t xml:space="preserve"> gli andamenti d</w:t>
      </w:r>
      <w:r w:rsidR="0085224A">
        <w:rPr>
          <w:sz w:val="28"/>
          <w:szCs w:val="28"/>
        </w:rPr>
        <w:t xml:space="preserve">i </w:t>
      </w:r>
      <w:r w:rsidR="00BB405B" w:rsidRPr="00AB4D40">
        <w:rPr>
          <w:b/>
          <w:sz w:val="28"/>
          <w:szCs w:val="28"/>
        </w:rPr>
        <w:t>Zenit Breve Termine</w:t>
      </w:r>
      <w:r w:rsidR="0085224A">
        <w:rPr>
          <w:sz w:val="28"/>
          <w:szCs w:val="28"/>
        </w:rPr>
        <w:t xml:space="preserve"> </w:t>
      </w:r>
      <w:r w:rsidR="00BB405B" w:rsidRPr="0085224A">
        <w:rPr>
          <w:sz w:val="28"/>
          <w:szCs w:val="28"/>
        </w:rPr>
        <w:t xml:space="preserve">e </w:t>
      </w:r>
      <w:r w:rsidR="00BB405B" w:rsidRPr="00AB4D40">
        <w:rPr>
          <w:b/>
          <w:sz w:val="28"/>
          <w:szCs w:val="28"/>
        </w:rPr>
        <w:t>Zenit Obbligazionario</w:t>
      </w:r>
      <w:r w:rsidR="0085224A" w:rsidRPr="00AB4D40">
        <w:rPr>
          <w:b/>
          <w:sz w:val="28"/>
          <w:szCs w:val="28"/>
        </w:rPr>
        <w:t xml:space="preserve"> </w:t>
      </w:r>
      <w:r w:rsidR="00BB405B" w:rsidRPr="00AB4D40">
        <w:rPr>
          <w:b/>
          <w:sz w:val="28"/>
          <w:szCs w:val="28"/>
        </w:rPr>
        <w:t>PIR</w:t>
      </w:r>
      <w:r w:rsidR="0085224A">
        <w:rPr>
          <w:sz w:val="28"/>
          <w:szCs w:val="28"/>
        </w:rPr>
        <w:t xml:space="preserve">, con </w:t>
      </w:r>
      <w:r w:rsidR="0085224A" w:rsidRPr="00AB4D40">
        <w:rPr>
          <w:b/>
          <w:sz w:val="28"/>
          <w:szCs w:val="28"/>
        </w:rPr>
        <w:t>performance</w:t>
      </w:r>
      <w:r w:rsidR="00F40A6E" w:rsidRPr="00AB4D40">
        <w:rPr>
          <w:b/>
          <w:sz w:val="28"/>
          <w:szCs w:val="28"/>
        </w:rPr>
        <w:t xml:space="preserve"> positive e</w:t>
      </w:r>
      <w:r w:rsidR="0085224A" w:rsidRPr="00AB4D40">
        <w:rPr>
          <w:b/>
          <w:sz w:val="28"/>
          <w:szCs w:val="28"/>
        </w:rPr>
        <w:t xml:space="preserve"> di assoluta eccellenza</w:t>
      </w:r>
      <w:r w:rsidR="00AC77DE">
        <w:rPr>
          <w:sz w:val="28"/>
          <w:szCs w:val="28"/>
        </w:rPr>
        <w:t xml:space="preserve"> se paragonat</w:t>
      </w:r>
      <w:r w:rsidR="00D30CD3">
        <w:rPr>
          <w:sz w:val="28"/>
          <w:szCs w:val="28"/>
        </w:rPr>
        <w:t>e</w:t>
      </w:r>
      <w:r w:rsidR="00F40A6E">
        <w:rPr>
          <w:sz w:val="28"/>
          <w:szCs w:val="28"/>
        </w:rPr>
        <w:t xml:space="preserve"> ai ritorni negativi </w:t>
      </w:r>
      <w:r w:rsidR="00D30CD3">
        <w:rPr>
          <w:sz w:val="28"/>
          <w:szCs w:val="28"/>
        </w:rPr>
        <w:t>degli indici aggregati sia globali sia</w:t>
      </w:r>
      <w:r w:rsidR="0088425C">
        <w:rPr>
          <w:sz w:val="28"/>
          <w:szCs w:val="28"/>
        </w:rPr>
        <w:t xml:space="preserve"> a </w:t>
      </w:r>
      <w:r w:rsidR="00D30CD3">
        <w:rPr>
          <w:sz w:val="28"/>
          <w:szCs w:val="28"/>
        </w:rPr>
        <w:t xml:space="preserve">1-3 anni </w:t>
      </w:r>
      <w:r w:rsidR="00F40A6E">
        <w:rPr>
          <w:sz w:val="28"/>
          <w:szCs w:val="28"/>
        </w:rPr>
        <w:t xml:space="preserve">nel comparto </w:t>
      </w:r>
      <w:r w:rsidR="00AC77DE">
        <w:rPr>
          <w:sz w:val="28"/>
          <w:szCs w:val="28"/>
        </w:rPr>
        <w:t>del reddito fisso</w:t>
      </w:r>
      <w:r w:rsidR="00D30CD3">
        <w:rPr>
          <w:sz w:val="28"/>
          <w:szCs w:val="28"/>
        </w:rPr>
        <w:t xml:space="preserve"> in area Euro.</w:t>
      </w:r>
    </w:p>
    <w:p w:rsidR="00BB405B" w:rsidRPr="0085224A" w:rsidRDefault="0085224A" w:rsidP="008F05C2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Procedendo con </w:t>
      </w:r>
      <w:r w:rsidR="00BB405B" w:rsidRPr="0085224A">
        <w:rPr>
          <w:sz w:val="28"/>
          <w:szCs w:val="28"/>
        </w:rPr>
        <w:t>ordine</w:t>
      </w:r>
      <w:r>
        <w:rPr>
          <w:sz w:val="28"/>
          <w:szCs w:val="28"/>
        </w:rPr>
        <w:t>, siamo lieti di riassumere sin</w:t>
      </w:r>
      <w:r w:rsidR="00BB405B" w:rsidRPr="0085224A">
        <w:rPr>
          <w:sz w:val="28"/>
          <w:szCs w:val="28"/>
        </w:rPr>
        <w:t xml:space="preserve">teticamente </w:t>
      </w:r>
      <w:r>
        <w:rPr>
          <w:sz w:val="28"/>
          <w:szCs w:val="28"/>
        </w:rPr>
        <w:t xml:space="preserve">i risultati </w:t>
      </w:r>
      <w:r w:rsidR="000B6C43">
        <w:rPr>
          <w:sz w:val="28"/>
          <w:szCs w:val="28"/>
        </w:rPr>
        <w:t>della nostra attività di gestione</w:t>
      </w:r>
      <w:r>
        <w:rPr>
          <w:sz w:val="28"/>
          <w:szCs w:val="28"/>
        </w:rPr>
        <w:t xml:space="preserve"> </w:t>
      </w:r>
      <w:r w:rsidR="00BB405B" w:rsidRPr="0085224A">
        <w:rPr>
          <w:sz w:val="28"/>
          <w:szCs w:val="28"/>
        </w:rPr>
        <w:t>nell’anno appena concluso.</w:t>
      </w:r>
    </w:p>
    <w:p w:rsidR="00D64869" w:rsidRPr="0085224A" w:rsidRDefault="00D60A7E" w:rsidP="008F05C2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AB4D40">
        <w:rPr>
          <w:b/>
          <w:sz w:val="28"/>
          <w:szCs w:val="28"/>
        </w:rPr>
        <w:lastRenderedPageBreak/>
        <w:t>Zenit Breve Termine</w:t>
      </w:r>
      <w:r>
        <w:rPr>
          <w:sz w:val="28"/>
          <w:szCs w:val="28"/>
        </w:rPr>
        <w:t xml:space="preserve"> </w:t>
      </w:r>
      <w:r w:rsidR="00D64869" w:rsidRPr="0085224A">
        <w:rPr>
          <w:sz w:val="28"/>
          <w:szCs w:val="28"/>
        </w:rPr>
        <w:t xml:space="preserve">registra un </w:t>
      </w:r>
      <w:r w:rsidR="00D64869" w:rsidRPr="00D60A7E">
        <w:rPr>
          <w:b/>
          <w:sz w:val="28"/>
          <w:szCs w:val="28"/>
        </w:rPr>
        <w:t>+2.04</w:t>
      </w:r>
      <w:r w:rsidR="0085224A" w:rsidRPr="00D60A7E">
        <w:rPr>
          <w:b/>
          <w:sz w:val="28"/>
          <w:szCs w:val="28"/>
        </w:rPr>
        <w:t>%</w:t>
      </w:r>
      <w:r w:rsidR="00D64869" w:rsidRPr="00D60A7E">
        <w:rPr>
          <w:sz w:val="28"/>
          <w:szCs w:val="28"/>
        </w:rPr>
        <w:t xml:space="preserve"> (classe I) e </w:t>
      </w:r>
      <w:r w:rsidR="00D64869" w:rsidRPr="00D60A7E">
        <w:rPr>
          <w:b/>
          <w:sz w:val="28"/>
          <w:szCs w:val="28"/>
        </w:rPr>
        <w:t>+1.72</w:t>
      </w:r>
      <w:r w:rsidR="0085224A" w:rsidRPr="00D60A7E">
        <w:rPr>
          <w:b/>
          <w:sz w:val="28"/>
          <w:szCs w:val="28"/>
        </w:rPr>
        <w:t>%</w:t>
      </w:r>
      <w:r w:rsidR="00D64869" w:rsidRPr="00D60A7E">
        <w:rPr>
          <w:sz w:val="28"/>
          <w:szCs w:val="28"/>
        </w:rPr>
        <w:t xml:space="preserve"> (classe R),</w:t>
      </w:r>
      <w:r w:rsidR="00D64869" w:rsidRPr="0085224A">
        <w:rPr>
          <w:sz w:val="28"/>
          <w:szCs w:val="28"/>
        </w:rPr>
        <w:t xml:space="preserve"> confermando e consolidando il rating delle </w:t>
      </w:r>
      <w:r w:rsidR="00D64869" w:rsidRPr="00D60A7E">
        <w:rPr>
          <w:b/>
          <w:sz w:val="28"/>
          <w:szCs w:val="28"/>
        </w:rPr>
        <w:t xml:space="preserve">5 stelle </w:t>
      </w:r>
      <w:r w:rsidR="00D64869" w:rsidRPr="00D60A7E">
        <w:rPr>
          <w:b/>
          <w:i/>
          <w:iCs/>
          <w:sz w:val="28"/>
          <w:szCs w:val="28"/>
        </w:rPr>
        <w:t>Morningstar</w:t>
      </w:r>
      <w:r w:rsidR="00D64869" w:rsidRPr="0085224A">
        <w:rPr>
          <w:sz w:val="28"/>
          <w:szCs w:val="28"/>
        </w:rPr>
        <w:t>. Particolarmente significativo il confronto con l’indice Fideuram d</w:t>
      </w:r>
      <w:r w:rsidR="00E01E0F">
        <w:rPr>
          <w:sz w:val="28"/>
          <w:szCs w:val="28"/>
        </w:rPr>
        <w:t>i</w:t>
      </w:r>
      <w:r w:rsidR="00D64869" w:rsidRPr="0085224A">
        <w:rPr>
          <w:sz w:val="28"/>
          <w:szCs w:val="28"/>
        </w:rPr>
        <w:t xml:space="preserve"> categoria, negativo </w:t>
      </w:r>
      <w:r w:rsidR="00447A18">
        <w:rPr>
          <w:sz w:val="28"/>
          <w:szCs w:val="28"/>
        </w:rPr>
        <w:t>dello</w:t>
      </w:r>
      <w:r w:rsidR="00D64869" w:rsidRPr="0085224A">
        <w:rPr>
          <w:sz w:val="28"/>
          <w:szCs w:val="28"/>
        </w:rPr>
        <w:t xml:space="preserve"> -0.89%. Il prodotto ha beneficiato di una gestione strategica che si è concentrata s</w:t>
      </w:r>
      <w:r w:rsidR="008011DA">
        <w:rPr>
          <w:sz w:val="28"/>
          <w:szCs w:val="28"/>
        </w:rPr>
        <w:t xml:space="preserve">ulle </w:t>
      </w:r>
      <w:r w:rsidR="008011DA" w:rsidRPr="00D60A7E">
        <w:rPr>
          <w:b/>
          <w:sz w:val="28"/>
          <w:szCs w:val="28"/>
        </w:rPr>
        <w:t>obbligazioni</w:t>
      </w:r>
      <w:r w:rsidR="00D64869" w:rsidRPr="00D60A7E">
        <w:rPr>
          <w:b/>
          <w:sz w:val="28"/>
          <w:szCs w:val="28"/>
        </w:rPr>
        <w:t xml:space="preserve"> </w:t>
      </w:r>
      <w:proofErr w:type="spellStart"/>
      <w:r w:rsidR="00D64869" w:rsidRPr="00D60A7E">
        <w:rPr>
          <w:b/>
          <w:i/>
          <w:iCs/>
          <w:sz w:val="28"/>
          <w:szCs w:val="28"/>
        </w:rPr>
        <w:t>corporate</w:t>
      </w:r>
      <w:r w:rsidR="00D93171" w:rsidRPr="00D60A7E">
        <w:rPr>
          <w:b/>
          <w:i/>
          <w:iCs/>
          <w:sz w:val="28"/>
          <w:szCs w:val="28"/>
        </w:rPr>
        <w:t>s</w:t>
      </w:r>
      <w:proofErr w:type="spellEnd"/>
      <w:r w:rsidR="008011DA">
        <w:rPr>
          <w:sz w:val="28"/>
          <w:szCs w:val="28"/>
        </w:rPr>
        <w:t xml:space="preserve"> a scapito dei titoli di stato,</w:t>
      </w:r>
      <w:r w:rsidR="00D64869" w:rsidRPr="0085224A">
        <w:rPr>
          <w:sz w:val="28"/>
          <w:szCs w:val="28"/>
        </w:rPr>
        <w:t xml:space="preserve"> affiancata da scelte tattiche che hanno sostanzialmente lavorato sui </w:t>
      </w:r>
      <w:r w:rsidR="00D64869" w:rsidRPr="00D60A7E">
        <w:rPr>
          <w:b/>
          <w:sz w:val="28"/>
          <w:szCs w:val="28"/>
        </w:rPr>
        <w:t xml:space="preserve">restringimenti degli </w:t>
      </w:r>
      <w:r w:rsidR="00D64869" w:rsidRPr="00D60A7E">
        <w:rPr>
          <w:b/>
          <w:i/>
          <w:iCs/>
          <w:sz w:val="28"/>
          <w:szCs w:val="28"/>
        </w:rPr>
        <w:t>spread</w:t>
      </w:r>
      <w:r w:rsidR="00447A18" w:rsidRPr="00D60A7E">
        <w:rPr>
          <w:b/>
          <w:i/>
          <w:iCs/>
          <w:sz w:val="28"/>
          <w:szCs w:val="28"/>
        </w:rPr>
        <w:t>s</w:t>
      </w:r>
      <w:r w:rsidR="00D64869" w:rsidRPr="00447A18">
        <w:rPr>
          <w:i/>
          <w:iCs/>
          <w:sz w:val="28"/>
          <w:szCs w:val="28"/>
        </w:rPr>
        <w:t xml:space="preserve"> </w:t>
      </w:r>
      <w:r w:rsidR="00D64869" w:rsidRPr="0085224A">
        <w:rPr>
          <w:sz w:val="28"/>
          <w:szCs w:val="28"/>
        </w:rPr>
        <w:t>per i titoli domestici con qualche buona operazione su</w:t>
      </w:r>
      <w:r w:rsidR="00694B4C">
        <w:rPr>
          <w:sz w:val="28"/>
          <w:szCs w:val="28"/>
        </w:rPr>
        <w:t>i</w:t>
      </w:r>
      <w:r w:rsidR="00D64869" w:rsidRPr="0085224A">
        <w:rPr>
          <w:sz w:val="28"/>
          <w:szCs w:val="28"/>
        </w:rPr>
        <w:t xml:space="preserve"> </w:t>
      </w:r>
      <w:proofErr w:type="spellStart"/>
      <w:r w:rsidR="00D64869" w:rsidRPr="00D60A7E">
        <w:rPr>
          <w:b/>
          <w:i/>
          <w:iCs/>
          <w:sz w:val="28"/>
          <w:szCs w:val="28"/>
        </w:rPr>
        <w:t>bonds</w:t>
      </w:r>
      <w:proofErr w:type="spellEnd"/>
      <w:r w:rsidR="00D64869" w:rsidRPr="00D60A7E">
        <w:rPr>
          <w:b/>
          <w:i/>
          <w:iCs/>
          <w:sz w:val="28"/>
          <w:szCs w:val="28"/>
        </w:rPr>
        <w:t xml:space="preserve"> </w:t>
      </w:r>
      <w:r w:rsidR="00D64869" w:rsidRPr="00D60A7E">
        <w:rPr>
          <w:b/>
          <w:sz w:val="28"/>
          <w:szCs w:val="28"/>
        </w:rPr>
        <w:t>esteri</w:t>
      </w:r>
      <w:r w:rsidR="00D64869" w:rsidRPr="0085224A">
        <w:rPr>
          <w:sz w:val="28"/>
          <w:szCs w:val="28"/>
        </w:rPr>
        <w:t xml:space="preserve"> e </w:t>
      </w:r>
      <w:r w:rsidR="00694B4C">
        <w:rPr>
          <w:sz w:val="28"/>
          <w:szCs w:val="28"/>
        </w:rPr>
        <w:t>alcune</w:t>
      </w:r>
      <w:r w:rsidR="00D64869" w:rsidRPr="0085224A">
        <w:rPr>
          <w:sz w:val="28"/>
          <w:szCs w:val="28"/>
        </w:rPr>
        <w:t xml:space="preserve"> positiv</w:t>
      </w:r>
      <w:r w:rsidR="00694B4C">
        <w:rPr>
          <w:sz w:val="28"/>
          <w:szCs w:val="28"/>
        </w:rPr>
        <w:t>e</w:t>
      </w:r>
      <w:r w:rsidR="00D64869" w:rsidRPr="0085224A">
        <w:rPr>
          <w:sz w:val="28"/>
          <w:szCs w:val="28"/>
        </w:rPr>
        <w:t xml:space="preserve"> </w:t>
      </w:r>
      <w:r w:rsidR="00D64869" w:rsidRPr="00D60A7E">
        <w:rPr>
          <w:b/>
          <w:sz w:val="28"/>
          <w:szCs w:val="28"/>
        </w:rPr>
        <w:t>esposizion</w:t>
      </w:r>
      <w:r w:rsidR="00694B4C" w:rsidRPr="00D60A7E">
        <w:rPr>
          <w:b/>
          <w:sz w:val="28"/>
          <w:szCs w:val="28"/>
        </w:rPr>
        <w:t>i</w:t>
      </w:r>
      <w:r w:rsidR="00D64869" w:rsidRPr="00D60A7E">
        <w:rPr>
          <w:b/>
          <w:sz w:val="28"/>
          <w:szCs w:val="28"/>
        </w:rPr>
        <w:t xml:space="preserve"> valutari</w:t>
      </w:r>
      <w:r w:rsidR="00694B4C" w:rsidRPr="00D60A7E">
        <w:rPr>
          <w:b/>
          <w:sz w:val="28"/>
          <w:szCs w:val="28"/>
        </w:rPr>
        <w:t>e</w:t>
      </w:r>
      <w:r w:rsidR="00D64869" w:rsidRPr="0085224A">
        <w:rPr>
          <w:sz w:val="28"/>
          <w:szCs w:val="28"/>
        </w:rPr>
        <w:t xml:space="preserve">. </w:t>
      </w:r>
    </w:p>
    <w:p w:rsidR="00D64869" w:rsidRPr="0085224A" w:rsidRDefault="00D64869" w:rsidP="008F05C2">
      <w:pPr>
        <w:pStyle w:val="Paragrafoelenco"/>
        <w:spacing w:after="200" w:line="276" w:lineRule="auto"/>
        <w:ind w:left="360"/>
        <w:jc w:val="both"/>
        <w:rPr>
          <w:sz w:val="28"/>
          <w:szCs w:val="28"/>
        </w:rPr>
      </w:pPr>
    </w:p>
    <w:p w:rsidR="00D64869" w:rsidRPr="0085224A" w:rsidRDefault="00D60A7E" w:rsidP="008F05C2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AB4D40">
        <w:rPr>
          <w:b/>
          <w:sz w:val="28"/>
          <w:szCs w:val="28"/>
        </w:rPr>
        <w:t>Zenit Obbligazionario PIR</w:t>
      </w:r>
      <w:r w:rsidRPr="006D0293">
        <w:rPr>
          <w:sz w:val="28"/>
          <w:szCs w:val="28"/>
        </w:rPr>
        <w:t xml:space="preserve"> </w:t>
      </w:r>
      <w:r w:rsidR="006D0293" w:rsidRPr="006D0293">
        <w:rPr>
          <w:sz w:val="28"/>
          <w:szCs w:val="28"/>
        </w:rPr>
        <w:t xml:space="preserve">chiude </w:t>
      </w:r>
      <w:r w:rsidR="00B36A51" w:rsidRPr="0085224A">
        <w:rPr>
          <w:sz w:val="28"/>
          <w:szCs w:val="28"/>
        </w:rPr>
        <w:t xml:space="preserve">il 2021 con </w:t>
      </w:r>
      <w:r w:rsidR="00347D5A" w:rsidRPr="0085224A">
        <w:rPr>
          <w:sz w:val="28"/>
          <w:szCs w:val="28"/>
        </w:rPr>
        <w:t xml:space="preserve">un </w:t>
      </w:r>
      <w:r w:rsidR="00347D5A" w:rsidRPr="00D60A7E">
        <w:rPr>
          <w:b/>
          <w:sz w:val="28"/>
          <w:szCs w:val="28"/>
        </w:rPr>
        <w:t>+5.22%</w:t>
      </w:r>
      <w:r w:rsidR="00347D5A" w:rsidRPr="00D60A7E">
        <w:rPr>
          <w:sz w:val="28"/>
          <w:szCs w:val="28"/>
        </w:rPr>
        <w:t xml:space="preserve"> (classe I), </w:t>
      </w:r>
      <w:r w:rsidR="00347D5A" w:rsidRPr="00D60A7E">
        <w:rPr>
          <w:b/>
          <w:sz w:val="28"/>
          <w:szCs w:val="28"/>
        </w:rPr>
        <w:t>+4,77%</w:t>
      </w:r>
      <w:r w:rsidR="00347D5A" w:rsidRPr="00D60A7E">
        <w:rPr>
          <w:sz w:val="28"/>
          <w:szCs w:val="28"/>
        </w:rPr>
        <w:t xml:space="preserve"> (classe R), </w:t>
      </w:r>
      <w:r w:rsidR="00347D5A" w:rsidRPr="00D60A7E">
        <w:rPr>
          <w:b/>
          <w:sz w:val="28"/>
          <w:szCs w:val="28"/>
        </w:rPr>
        <w:t>+4.78%</w:t>
      </w:r>
      <w:r w:rsidR="00347D5A" w:rsidRPr="00D60A7E">
        <w:rPr>
          <w:sz w:val="28"/>
          <w:szCs w:val="28"/>
        </w:rPr>
        <w:t xml:space="preserve"> (classe E)</w:t>
      </w:r>
      <w:r>
        <w:rPr>
          <w:sz w:val="28"/>
          <w:szCs w:val="28"/>
        </w:rPr>
        <w:t xml:space="preserve"> e</w:t>
      </w:r>
      <w:r w:rsidR="009E5F4C" w:rsidRPr="00D60A7E">
        <w:rPr>
          <w:sz w:val="28"/>
          <w:szCs w:val="28"/>
        </w:rPr>
        <w:t xml:space="preserve"> </w:t>
      </w:r>
      <w:r w:rsidR="007736BF" w:rsidRPr="00D60A7E">
        <w:rPr>
          <w:b/>
          <w:sz w:val="28"/>
          <w:szCs w:val="28"/>
        </w:rPr>
        <w:t>+4,98%</w:t>
      </w:r>
      <w:r w:rsidR="009E5F4C" w:rsidRPr="00D60A7E">
        <w:rPr>
          <w:sz w:val="28"/>
          <w:szCs w:val="28"/>
        </w:rPr>
        <w:t xml:space="preserve"> (classe W)</w:t>
      </w:r>
      <w:r>
        <w:rPr>
          <w:sz w:val="28"/>
          <w:szCs w:val="28"/>
        </w:rPr>
        <w:t>,</w:t>
      </w:r>
      <w:r w:rsidR="00694B4C">
        <w:rPr>
          <w:sz w:val="28"/>
          <w:szCs w:val="28"/>
        </w:rPr>
        <w:t xml:space="preserve"> </w:t>
      </w:r>
      <w:r w:rsidR="00347D5A" w:rsidRPr="0085224A">
        <w:rPr>
          <w:sz w:val="28"/>
          <w:szCs w:val="28"/>
        </w:rPr>
        <w:t>che si confronta</w:t>
      </w:r>
      <w:r w:rsidR="00694B4C">
        <w:rPr>
          <w:sz w:val="28"/>
          <w:szCs w:val="28"/>
        </w:rPr>
        <w:t>no</w:t>
      </w:r>
      <w:r w:rsidR="00347D5A" w:rsidRPr="0085224A">
        <w:rPr>
          <w:sz w:val="28"/>
          <w:szCs w:val="28"/>
        </w:rPr>
        <w:t xml:space="preserve"> con l’indice di categoria Fideuram che </w:t>
      </w:r>
      <w:r w:rsidR="00694B4C">
        <w:rPr>
          <w:sz w:val="28"/>
          <w:szCs w:val="28"/>
        </w:rPr>
        <w:t>segna</w:t>
      </w:r>
      <w:r w:rsidR="00347D5A" w:rsidRPr="0085224A">
        <w:rPr>
          <w:sz w:val="28"/>
          <w:szCs w:val="28"/>
        </w:rPr>
        <w:t xml:space="preserve"> un +0.54%. </w:t>
      </w:r>
      <w:r w:rsidR="00CC7532" w:rsidRPr="0085224A">
        <w:rPr>
          <w:sz w:val="28"/>
          <w:szCs w:val="28"/>
        </w:rPr>
        <w:t>Il fondo PIR</w:t>
      </w:r>
      <w:r w:rsidR="00347D5A" w:rsidRPr="0085224A">
        <w:rPr>
          <w:sz w:val="28"/>
          <w:szCs w:val="28"/>
        </w:rPr>
        <w:t xml:space="preserve"> ha ben lavorato sulla componente dei </w:t>
      </w:r>
      <w:r w:rsidR="002B74D6" w:rsidRPr="00D60A7E">
        <w:rPr>
          <w:b/>
          <w:sz w:val="28"/>
          <w:szCs w:val="28"/>
        </w:rPr>
        <w:t>titoli societari</w:t>
      </w:r>
      <w:r w:rsidR="00347D5A" w:rsidRPr="0085224A">
        <w:rPr>
          <w:sz w:val="28"/>
          <w:szCs w:val="28"/>
        </w:rPr>
        <w:t>, che hanno beneficiato dell’ottimo andamento del PIL italiano</w:t>
      </w:r>
      <w:r w:rsidR="00694B4C">
        <w:rPr>
          <w:sz w:val="28"/>
          <w:szCs w:val="28"/>
        </w:rPr>
        <w:t xml:space="preserve"> nel 2021</w:t>
      </w:r>
      <w:r w:rsidR="00CC7532" w:rsidRPr="0085224A">
        <w:rPr>
          <w:sz w:val="28"/>
          <w:szCs w:val="28"/>
        </w:rPr>
        <w:t xml:space="preserve"> (oltre il 6%</w:t>
      </w:r>
      <w:r w:rsidR="00694B4C" w:rsidRPr="0085224A">
        <w:rPr>
          <w:sz w:val="28"/>
          <w:szCs w:val="28"/>
        </w:rPr>
        <w:t>), miglior</w:t>
      </w:r>
      <w:r w:rsidR="00694B4C">
        <w:rPr>
          <w:sz w:val="28"/>
          <w:szCs w:val="28"/>
        </w:rPr>
        <w:t xml:space="preserve"> Paese</w:t>
      </w:r>
      <w:r w:rsidR="00347D5A" w:rsidRPr="0085224A">
        <w:rPr>
          <w:sz w:val="28"/>
          <w:szCs w:val="28"/>
        </w:rPr>
        <w:t xml:space="preserve"> nell’area Euro, </w:t>
      </w:r>
      <w:r w:rsidR="00694B4C">
        <w:rPr>
          <w:sz w:val="28"/>
          <w:szCs w:val="28"/>
        </w:rPr>
        <w:t xml:space="preserve">grazie a </w:t>
      </w:r>
      <w:r w:rsidR="00347D5A" w:rsidRPr="00D60A7E">
        <w:rPr>
          <w:sz w:val="28"/>
          <w:szCs w:val="28"/>
        </w:rPr>
        <w:t>un’</w:t>
      </w:r>
      <w:r w:rsidR="00347D5A" w:rsidRPr="00D60A7E">
        <w:rPr>
          <w:b/>
          <w:sz w:val="28"/>
          <w:szCs w:val="28"/>
        </w:rPr>
        <w:t>attenta selezione</w:t>
      </w:r>
      <w:r w:rsidR="00694B4C" w:rsidRPr="00D60A7E">
        <w:rPr>
          <w:b/>
          <w:sz w:val="28"/>
          <w:szCs w:val="28"/>
        </w:rPr>
        <w:t xml:space="preserve"> degli emittenti</w:t>
      </w:r>
      <w:r w:rsidR="00347D5A" w:rsidRPr="0085224A">
        <w:rPr>
          <w:sz w:val="28"/>
          <w:szCs w:val="28"/>
        </w:rPr>
        <w:t xml:space="preserve"> e da un </w:t>
      </w:r>
      <w:r w:rsidR="00347D5A" w:rsidRPr="00D60A7E">
        <w:rPr>
          <w:b/>
          <w:i/>
          <w:iCs/>
          <w:sz w:val="28"/>
          <w:szCs w:val="28"/>
        </w:rPr>
        <w:t xml:space="preserve">timing </w:t>
      </w:r>
      <w:r w:rsidR="00347D5A" w:rsidRPr="00D60A7E">
        <w:rPr>
          <w:b/>
          <w:sz w:val="28"/>
          <w:szCs w:val="28"/>
        </w:rPr>
        <w:t>nel trading</w:t>
      </w:r>
      <w:r w:rsidR="00347D5A" w:rsidRPr="0085224A">
        <w:rPr>
          <w:sz w:val="28"/>
          <w:szCs w:val="28"/>
        </w:rPr>
        <w:t xml:space="preserve"> che ha</w:t>
      </w:r>
      <w:r w:rsidR="00694B4C">
        <w:rPr>
          <w:sz w:val="28"/>
          <w:szCs w:val="28"/>
        </w:rPr>
        <w:t xml:space="preserve">nno permesso di </w:t>
      </w:r>
      <w:r w:rsidR="00347D5A" w:rsidRPr="0085224A">
        <w:rPr>
          <w:sz w:val="28"/>
          <w:szCs w:val="28"/>
        </w:rPr>
        <w:t>gratificare i risparmiatori che hanno il fondo all</w:t>
      </w:r>
      <w:r w:rsidR="002B74D6" w:rsidRPr="0085224A">
        <w:rPr>
          <w:sz w:val="28"/>
          <w:szCs w:val="28"/>
        </w:rPr>
        <w:t>’interno de</w:t>
      </w:r>
      <w:r w:rsidR="006D0293">
        <w:rPr>
          <w:sz w:val="28"/>
          <w:szCs w:val="28"/>
        </w:rPr>
        <w:t>l</w:t>
      </w:r>
      <w:r w:rsidR="002B74D6" w:rsidRPr="0085224A">
        <w:rPr>
          <w:sz w:val="28"/>
          <w:szCs w:val="28"/>
        </w:rPr>
        <w:t xml:space="preserve"> loro Pian</w:t>
      </w:r>
      <w:r w:rsidR="006D0293">
        <w:rPr>
          <w:sz w:val="28"/>
          <w:szCs w:val="28"/>
        </w:rPr>
        <w:t>o</w:t>
      </w:r>
      <w:r w:rsidR="002B74D6" w:rsidRPr="0085224A">
        <w:rPr>
          <w:sz w:val="28"/>
          <w:szCs w:val="28"/>
        </w:rPr>
        <w:t xml:space="preserve"> Individual</w:t>
      </w:r>
      <w:r w:rsidR="006D0293">
        <w:rPr>
          <w:sz w:val="28"/>
          <w:szCs w:val="28"/>
        </w:rPr>
        <w:t>e</w:t>
      </w:r>
      <w:r w:rsidR="002B74D6" w:rsidRPr="0085224A">
        <w:rPr>
          <w:sz w:val="28"/>
          <w:szCs w:val="28"/>
        </w:rPr>
        <w:t xml:space="preserve"> di Risparmio. Anche per questa prima parte dell’anno 2022, viene confermata un’</w:t>
      </w:r>
      <w:r w:rsidR="00B36A51" w:rsidRPr="0085224A">
        <w:rPr>
          <w:sz w:val="28"/>
          <w:szCs w:val="28"/>
        </w:rPr>
        <w:t xml:space="preserve">allocazione </w:t>
      </w:r>
      <w:r w:rsidR="002B74D6" w:rsidRPr="0085224A">
        <w:rPr>
          <w:sz w:val="28"/>
          <w:szCs w:val="28"/>
        </w:rPr>
        <w:t xml:space="preserve">con un </w:t>
      </w:r>
      <w:r w:rsidR="002B74D6" w:rsidRPr="00D60A7E">
        <w:rPr>
          <w:sz w:val="28"/>
          <w:szCs w:val="28"/>
        </w:rPr>
        <w:t xml:space="preserve">focus prevalente sulla componente </w:t>
      </w:r>
      <w:proofErr w:type="spellStart"/>
      <w:r w:rsidR="00B36A51" w:rsidRPr="00D60A7E">
        <w:rPr>
          <w:i/>
          <w:iCs/>
          <w:sz w:val="28"/>
          <w:szCs w:val="28"/>
        </w:rPr>
        <w:t>corporates</w:t>
      </w:r>
      <w:proofErr w:type="spellEnd"/>
      <w:r w:rsidR="002B74D6" w:rsidRPr="0085224A">
        <w:rPr>
          <w:i/>
          <w:iCs/>
          <w:sz w:val="28"/>
          <w:szCs w:val="28"/>
        </w:rPr>
        <w:t xml:space="preserve">, </w:t>
      </w:r>
      <w:r w:rsidR="002B74D6" w:rsidRPr="0085224A">
        <w:rPr>
          <w:sz w:val="28"/>
          <w:szCs w:val="28"/>
        </w:rPr>
        <w:t xml:space="preserve">affiancata da selettive esposizioni sui titoli </w:t>
      </w:r>
      <w:r w:rsidR="00B36A51" w:rsidRPr="0085224A">
        <w:rPr>
          <w:sz w:val="28"/>
          <w:szCs w:val="28"/>
        </w:rPr>
        <w:t>governativi e</w:t>
      </w:r>
      <w:r w:rsidR="002B74D6" w:rsidRPr="0085224A">
        <w:rPr>
          <w:sz w:val="28"/>
          <w:szCs w:val="28"/>
        </w:rPr>
        <w:t xml:space="preserve"> sulle azioni domestiche</w:t>
      </w:r>
      <w:r w:rsidR="00D93171">
        <w:rPr>
          <w:sz w:val="28"/>
          <w:szCs w:val="28"/>
        </w:rPr>
        <w:t>,</w:t>
      </w:r>
      <w:r w:rsidR="002B74D6" w:rsidRPr="0085224A">
        <w:rPr>
          <w:sz w:val="28"/>
          <w:szCs w:val="28"/>
        </w:rPr>
        <w:t xml:space="preserve"> per </w:t>
      </w:r>
      <w:r w:rsidR="002B74D6" w:rsidRPr="00D60A7E">
        <w:rPr>
          <w:b/>
          <w:sz w:val="28"/>
          <w:szCs w:val="28"/>
        </w:rPr>
        <w:t xml:space="preserve">continuare a cogliere le </w:t>
      </w:r>
      <w:r w:rsidR="00B36A51" w:rsidRPr="00D60A7E">
        <w:rPr>
          <w:b/>
          <w:sz w:val="28"/>
          <w:szCs w:val="28"/>
        </w:rPr>
        <w:t xml:space="preserve">opportunità </w:t>
      </w:r>
      <w:r w:rsidR="002B74D6" w:rsidRPr="00D60A7E">
        <w:rPr>
          <w:b/>
          <w:sz w:val="28"/>
          <w:szCs w:val="28"/>
        </w:rPr>
        <w:t xml:space="preserve">che il </w:t>
      </w:r>
      <w:r w:rsidR="00B36A51" w:rsidRPr="00D60A7E">
        <w:rPr>
          <w:b/>
          <w:sz w:val="28"/>
          <w:szCs w:val="28"/>
        </w:rPr>
        <w:t>mercato italiano</w:t>
      </w:r>
      <w:r w:rsidR="002B74D6" w:rsidRPr="00D60A7E">
        <w:rPr>
          <w:b/>
          <w:sz w:val="28"/>
          <w:szCs w:val="28"/>
        </w:rPr>
        <w:t xml:space="preserve"> è ancora in grado di offrire</w:t>
      </w:r>
      <w:r w:rsidR="002B74D6" w:rsidRPr="0085224A">
        <w:rPr>
          <w:sz w:val="28"/>
          <w:szCs w:val="28"/>
        </w:rPr>
        <w:t xml:space="preserve">. </w:t>
      </w:r>
      <w:r w:rsidR="00B36A51" w:rsidRPr="0085224A">
        <w:rPr>
          <w:sz w:val="28"/>
          <w:szCs w:val="28"/>
        </w:rPr>
        <w:t xml:space="preserve"> </w:t>
      </w:r>
    </w:p>
    <w:p w:rsidR="00D64869" w:rsidRPr="0085224A" w:rsidRDefault="00D64869" w:rsidP="008F05C2">
      <w:pPr>
        <w:pStyle w:val="Paragrafoelenco"/>
        <w:spacing w:after="200" w:line="276" w:lineRule="auto"/>
        <w:ind w:left="360"/>
        <w:jc w:val="both"/>
        <w:rPr>
          <w:sz w:val="28"/>
          <w:szCs w:val="28"/>
        </w:rPr>
      </w:pPr>
    </w:p>
    <w:p w:rsidR="009E5F4C" w:rsidRPr="009E5F4C" w:rsidRDefault="00D60A7E" w:rsidP="009E5F4C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Zenit Pianeta Italia</w:t>
      </w:r>
      <w:r w:rsidR="004C1F56" w:rsidRPr="0085224A">
        <w:rPr>
          <w:sz w:val="28"/>
          <w:szCs w:val="28"/>
        </w:rPr>
        <w:t xml:space="preserve">, </w:t>
      </w:r>
      <w:r w:rsidR="002B3D81">
        <w:rPr>
          <w:sz w:val="28"/>
          <w:szCs w:val="28"/>
        </w:rPr>
        <w:t>i</w:t>
      </w:r>
      <w:r w:rsidR="009E5F4C" w:rsidRPr="0085224A">
        <w:rPr>
          <w:sz w:val="28"/>
          <w:szCs w:val="28"/>
        </w:rPr>
        <w:t xml:space="preserve">l fondo azionario Italia PIR, </w:t>
      </w:r>
      <w:r>
        <w:rPr>
          <w:sz w:val="28"/>
          <w:szCs w:val="28"/>
        </w:rPr>
        <w:t>premia</w:t>
      </w:r>
      <w:r w:rsidR="00CC7532" w:rsidRPr="0085224A">
        <w:rPr>
          <w:sz w:val="28"/>
          <w:szCs w:val="28"/>
        </w:rPr>
        <w:t xml:space="preserve"> gli investitori con un </w:t>
      </w:r>
      <w:r w:rsidR="00BA03B9" w:rsidRPr="00D60A7E">
        <w:rPr>
          <w:b/>
          <w:sz w:val="28"/>
          <w:szCs w:val="28"/>
        </w:rPr>
        <w:t>+</w:t>
      </w:r>
      <w:r w:rsidR="00CC7532" w:rsidRPr="00D60A7E">
        <w:rPr>
          <w:b/>
          <w:sz w:val="28"/>
          <w:szCs w:val="28"/>
        </w:rPr>
        <w:t>27.18%</w:t>
      </w:r>
      <w:r w:rsidR="00CC7532" w:rsidRPr="00D60A7E">
        <w:rPr>
          <w:sz w:val="28"/>
          <w:szCs w:val="28"/>
        </w:rPr>
        <w:t xml:space="preserve"> (classe I), </w:t>
      </w:r>
      <w:r w:rsidR="00CC7532" w:rsidRPr="00D60A7E">
        <w:rPr>
          <w:b/>
          <w:sz w:val="28"/>
          <w:szCs w:val="28"/>
        </w:rPr>
        <w:t>+25.43%</w:t>
      </w:r>
      <w:r w:rsidR="00CC7532" w:rsidRPr="00D60A7E">
        <w:rPr>
          <w:sz w:val="28"/>
          <w:szCs w:val="28"/>
        </w:rPr>
        <w:t xml:space="preserve"> (classe E)</w:t>
      </w:r>
      <w:r w:rsidR="007736BF" w:rsidRPr="00D60A7E">
        <w:rPr>
          <w:sz w:val="28"/>
          <w:szCs w:val="28"/>
        </w:rPr>
        <w:t xml:space="preserve">, </w:t>
      </w:r>
      <w:r w:rsidR="00CC7532" w:rsidRPr="00D60A7E">
        <w:rPr>
          <w:b/>
          <w:sz w:val="28"/>
          <w:szCs w:val="28"/>
        </w:rPr>
        <w:t>+25.36%</w:t>
      </w:r>
      <w:r w:rsidR="00CC7532" w:rsidRPr="00D60A7E">
        <w:rPr>
          <w:sz w:val="28"/>
          <w:szCs w:val="28"/>
        </w:rPr>
        <w:t xml:space="preserve"> (classe R)</w:t>
      </w:r>
      <w:r w:rsidR="007736BF" w:rsidRPr="00D60A7E">
        <w:rPr>
          <w:sz w:val="28"/>
          <w:szCs w:val="28"/>
        </w:rPr>
        <w:t xml:space="preserve"> e </w:t>
      </w:r>
      <w:r w:rsidR="007736BF" w:rsidRPr="00D60A7E">
        <w:rPr>
          <w:b/>
          <w:sz w:val="28"/>
          <w:szCs w:val="28"/>
        </w:rPr>
        <w:t>+25.98%</w:t>
      </w:r>
      <w:r w:rsidR="007736BF" w:rsidRPr="00D60A7E">
        <w:rPr>
          <w:sz w:val="28"/>
          <w:szCs w:val="28"/>
        </w:rPr>
        <w:t xml:space="preserve"> (Casse </w:t>
      </w:r>
      <w:r w:rsidR="002B3D81" w:rsidRPr="00D60A7E">
        <w:rPr>
          <w:sz w:val="28"/>
          <w:szCs w:val="28"/>
        </w:rPr>
        <w:t>W</w:t>
      </w:r>
      <w:r w:rsidR="007736BF" w:rsidRPr="00D60A7E">
        <w:rPr>
          <w:sz w:val="28"/>
          <w:szCs w:val="28"/>
        </w:rPr>
        <w:t>),</w:t>
      </w:r>
      <w:r w:rsidR="00CC7532" w:rsidRPr="007736BF">
        <w:rPr>
          <w:sz w:val="28"/>
          <w:szCs w:val="28"/>
        </w:rPr>
        <w:t xml:space="preserve"> </w:t>
      </w:r>
      <w:r w:rsidR="00CC7532" w:rsidRPr="0085224A">
        <w:rPr>
          <w:sz w:val="28"/>
          <w:szCs w:val="28"/>
        </w:rPr>
        <w:t xml:space="preserve">sostanzialmente in linea con l’andamento del relativo indice Fideuram </w:t>
      </w:r>
      <w:r w:rsidR="00BA03B9">
        <w:rPr>
          <w:sz w:val="28"/>
          <w:szCs w:val="28"/>
        </w:rPr>
        <w:t xml:space="preserve">pari </w:t>
      </w:r>
      <w:r w:rsidR="00CC7532" w:rsidRPr="0085224A">
        <w:rPr>
          <w:sz w:val="28"/>
          <w:szCs w:val="28"/>
        </w:rPr>
        <w:t xml:space="preserve">a +25.17%. Le indicazioni date a inizio 2021 di mantenere e incrementare </w:t>
      </w:r>
      <w:r w:rsidR="004C1F56" w:rsidRPr="0085224A">
        <w:rPr>
          <w:sz w:val="28"/>
          <w:szCs w:val="28"/>
        </w:rPr>
        <w:t xml:space="preserve">l’accumulo sui </w:t>
      </w:r>
      <w:r w:rsidR="004C1F56" w:rsidRPr="00D60A7E">
        <w:rPr>
          <w:b/>
          <w:sz w:val="28"/>
          <w:szCs w:val="28"/>
        </w:rPr>
        <w:t>PIR</w:t>
      </w:r>
      <w:r w:rsidR="004C1F56" w:rsidRPr="0085224A">
        <w:rPr>
          <w:sz w:val="28"/>
          <w:szCs w:val="28"/>
        </w:rPr>
        <w:t xml:space="preserve"> già aperti, ovvero di aprirne uno, ha trovato una positiva conferma nell’andamento del </w:t>
      </w:r>
      <w:r w:rsidR="004C1F56" w:rsidRPr="00D60A7E">
        <w:rPr>
          <w:b/>
          <w:sz w:val="28"/>
          <w:szCs w:val="28"/>
        </w:rPr>
        <w:t>mercato azionario italiano</w:t>
      </w:r>
      <w:r w:rsidR="004C1F56" w:rsidRPr="0085224A">
        <w:rPr>
          <w:sz w:val="28"/>
          <w:szCs w:val="28"/>
        </w:rPr>
        <w:t xml:space="preserve">, </w:t>
      </w:r>
      <w:r w:rsidR="004C1F56" w:rsidRPr="00D60A7E">
        <w:rPr>
          <w:b/>
          <w:sz w:val="28"/>
          <w:szCs w:val="28"/>
        </w:rPr>
        <w:t>tra i migliori nell’area UE</w:t>
      </w:r>
      <w:r w:rsidR="004C1F56" w:rsidRPr="0085224A">
        <w:rPr>
          <w:sz w:val="28"/>
          <w:szCs w:val="28"/>
        </w:rPr>
        <w:t xml:space="preserve">. Continuiamo a pensare che strategicamente vi siano ancora buone ragioni per </w:t>
      </w:r>
      <w:r w:rsidR="004C1F56" w:rsidRPr="00D60A7E">
        <w:rPr>
          <w:b/>
          <w:sz w:val="28"/>
          <w:szCs w:val="28"/>
        </w:rPr>
        <w:t>mantenere una posizione di investimento sull’Italia</w:t>
      </w:r>
      <w:r w:rsidR="004C1F56" w:rsidRPr="0085224A">
        <w:rPr>
          <w:sz w:val="28"/>
          <w:szCs w:val="28"/>
        </w:rPr>
        <w:t xml:space="preserve">. </w:t>
      </w:r>
      <w:r w:rsidR="009E5F4C" w:rsidRPr="009E5F4C">
        <w:rPr>
          <w:sz w:val="28"/>
          <w:szCs w:val="28"/>
        </w:rPr>
        <w:t xml:space="preserve">In generale pensiamo che nel 2022 l’Italia conservi le </w:t>
      </w:r>
      <w:r w:rsidR="009E5F4C" w:rsidRPr="00D60A7E">
        <w:rPr>
          <w:b/>
          <w:sz w:val="28"/>
          <w:szCs w:val="28"/>
        </w:rPr>
        <w:t>buone prospettive di crescita</w:t>
      </w:r>
      <w:r w:rsidR="009E5F4C" w:rsidRPr="009E5F4C">
        <w:rPr>
          <w:sz w:val="28"/>
          <w:szCs w:val="28"/>
        </w:rPr>
        <w:t xml:space="preserve"> (oltre 3.5%) per la progressiva “messa in opera” del </w:t>
      </w:r>
      <w:r w:rsidR="009E5F4C" w:rsidRPr="009E5F4C">
        <w:rPr>
          <w:i/>
          <w:iCs/>
          <w:sz w:val="28"/>
          <w:szCs w:val="28"/>
        </w:rPr>
        <w:t>Next Generation EU</w:t>
      </w:r>
      <w:r w:rsidR="009E5F4C" w:rsidRPr="009E5F4C">
        <w:rPr>
          <w:sz w:val="28"/>
          <w:szCs w:val="28"/>
        </w:rPr>
        <w:t xml:space="preserve"> con le evidenti ricadute </w:t>
      </w:r>
      <w:r>
        <w:rPr>
          <w:sz w:val="28"/>
          <w:szCs w:val="28"/>
        </w:rPr>
        <w:t xml:space="preserve">positive </w:t>
      </w:r>
      <w:r w:rsidR="009E5F4C" w:rsidRPr="009E5F4C">
        <w:rPr>
          <w:sz w:val="28"/>
          <w:szCs w:val="28"/>
        </w:rPr>
        <w:t xml:space="preserve">sul tessuto economico.   </w:t>
      </w:r>
    </w:p>
    <w:p w:rsidR="00D64869" w:rsidRPr="0085224A" w:rsidRDefault="00D64869" w:rsidP="008F05C2">
      <w:pPr>
        <w:pStyle w:val="Paragrafoelenco"/>
        <w:spacing w:after="200" w:line="276" w:lineRule="auto"/>
        <w:ind w:left="360"/>
        <w:jc w:val="both"/>
        <w:rPr>
          <w:sz w:val="28"/>
          <w:szCs w:val="28"/>
        </w:rPr>
      </w:pPr>
    </w:p>
    <w:p w:rsidR="00CC7532" w:rsidRPr="0085224A" w:rsidRDefault="00D60A7E" w:rsidP="008F05C2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D60A7E">
        <w:rPr>
          <w:b/>
          <w:sz w:val="28"/>
          <w:szCs w:val="28"/>
        </w:rPr>
        <w:lastRenderedPageBreak/>
        <w:t>Zenit Megatrend</w:t>
      </w:r>
      <w:r w:rsidR="00327108" w:rsidRPr="0085224A">
        <w:rPr>
          <w:sz w:val="28"/>
          <w:szCs w:val="28"/>
        </w:rPr>
        <w:t xml:space="preserve">, </w:t>
      </w:r>
      <w:r w:rsidR="002B3D81" w:rsidRPr="0085224A">
        <w:rPr>
          <w:sz w:val="28"/>
          <w:szCs w:val="28"/>
        </w:rPr>
        <w:t>il nostro fondo azionario internazionale,</w:t>
      </w:r>
      <w:r w:rsidR="002B3D81">
        <w:rPr>
          <w:sz w:val="28"/>
          <w:szCs w:val="28"/>
        </w:rPr>
        <w:t xml:space="preserve"> </w:t>
      </w:r>
      <w:r w:rsidR="00327108" w:rsidRPr="0085224A">
        <w:rPr>
          <w:sz w:val="28"/>
          <w:szCs w:val="28"/>
        </w:rPr>
        <w:t>chiude</w:t>
      </w:r>
      <w:r w:rsidR="004C1F56" w:rsidRPr="0085224A">
        <w:rPr>
          <w:sz w:val="28"/>
          <w:szCs w:val="28"/>
        </w:rPr>
        <w:t xml:space="preserve"> bene l’anno con </w:t>
      </w:r>
      <w:r w:rsidR="004C1F56" w:rsidRPr="00D60A7E">
        <w:rPr>
          <w:b/>
          <w:sz w:val="28"/>
          <w:szCs w:val="28"/>
        </w:rPr>
        <w:t>+20.91%</w:t>
      </w:r>
      <w:r w:rsidR="004C1F56" w:rsidRPr="00D60A7E">
        <w:rPr>
          <w:sz w:val="28"/>
          <w:szCs w:val="28"/>
        </w:rPr>
        <w:t xml:space="preserve"> (classe I) e </w:t>
      </w:r>
      <w:r w:rsidR="004C1F56" w:rsidRPr="00D60A7E">
        <w:rPr>
          <w:b/>
          <w:sz w:val="28"/>
          <w:szCs w:val="28"/>
        </w:rPr>
        <w:t>+19.45%</w:t>
      </w:r>
      <w:r w:rsidR="004C1F56" w:rsidRPr="00D60A7E">
        <w:rPr>
          <w:sz w:val="28"/>
          <w:szCs w:val="28"/>
        </w:rPr>
        <w:t xml:space="preserve"> (classe R),</w:t>
      </w:r>
      <w:r w:rsidR="004C1F56" w:rsidRPr="0085224A">
        <w:rPr>
          <w:sz w:val="28"/>
          <w:szCs w:val="28"/>
        </w:rPr>
        <w:t xml:space="preserve"> risultati che sono stati conseguiti con una </w:t>
      </w:r>
      <w:r w:rsidR="004C1F56" w:rsidRPr="00D60A7E">
        <w:rPr>
          <w:b/>
          <w:sz w:val="28"/>
          <w:szCs w:val="28"/>
        </w:rPr>
        <w:t>volatilità tra le più basse</w:t>
      </w:r>
      <w:r w:rsidR="004C1F56" w:rsidRPr="0085224A">
        <w:rPr>
          <w:sz w:val="28"/>
          <w:szCs w:val="28"/>
        </w:rPr>
        <w:t xml:space="preserve"> tra i fondi azionari. </w:t>
      </w:r>
    </w:p>
    <w:p w:rsidR="00D64869" w:rsidRPr="0085224A" w:rsidRDefault="00D64869" w:rsidP="008F05C2">
      <w:pPr>
        <w:pStyle w:val="Paragrafoelenco"/>
        <w:spacing w:after="200" w:line="276" w:lineRule="auto"/>
        <w:ind w:left="360"/>
        <w:jc w:val="both"/>
        <w:rPr>
          <w:sz w:val="28"/>
          <w:szCs w:val="28"/>
        </w:rPr>
      </w:pPr>
    </w:p>
    <w:p w:rsidR="00327108" w:rsidRPr="0085224A" w:rsidRDefault="00327108" w:rsidP="008F05C2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D60A7E">
        <w:rPr>
          <w:b/>
          <w:sz w:val="28"/>
          <w:szCs w:val="28"/>
        </w:rPr>
        <w:t>Pensaci Oggi</w:t>
      </w:r>
      <w:r w:rsidRPr="0085224A">
        <w:rPr>
          <w:sz w:val="28"/>
          <w:szCs w:val="28"/>
        </w:rPr>
        <w:t xml:space="preserve">, </w:t>
      </w:r>
      <w:r w:rsidR="00E21D0B">
        <w:rPr>
          <w:sz w:val="28"/>
          <w:szCs w:val="28"/>
        </w:rPr>
        <w:t>il nostro f</w:t>
      </w:r>
      <w:r w:rsidR="00E21D0B" w:rsidRPr="0085224A">
        <w:rPr>
          <w:sz w:val="28"/>
          <w:szCs w:val="28"/>
        </w:rPr>
        <w:t>ondo bilanciato flessibile</w:t>
      </w:r>
      <w:r w:rsidR="00E21D0B">
        <w:rPr>
          <w:sz w:val="28"/>
          <w:szCs w:val="28"/>
        </w:rPr>
        <w:t>,</w:t>
      </w:r>
      <w:r w:rsidR="00E21D0B" w:rsidRPr="0085224A">
        <w:rPr>
          <w:sz w:val="28"/>
          <w:szCs w:val="28"/>
        </w:rPr>
        <w:t xml:space="preserve"> </w:t>
      </w:r>
      <w:r w:rsidRPr="0085224A">
        <w:rPr>
          <w:sz w:val="28"/>
          <w:szCs w:val="28"/>
        </w:rPr>
        <w:t xml:space="preserve">a fine 2021 attesta </w:t>
      </w:r>
      <w:r w:rsidRPr="00D60A7E">
        <w:rPr>
          <w:b/>
          <w:sz w:val="28"/>
          <w:szCs w:val="28"/>
        </w:rPr>
        <w:t>+7.17</w:t>
      </w:r>
      <w:r w:rsidRPr="00D60A7E">
        <w:rPr>
          <w:sz w:val="28"/>
          <w:szCs w:val="28"/>
        </w:rPr>
        <w:t>% (classe I)</w:t>
      </w:r>
      <w:r w:rsidR="00D60A7E">
        <w:rPr>
          <w:sz w:val="28"/>
          <w:szCs w:val="28"/>
        </w:rPr>
        <w:t xml:space="preserve">, </w:t>
      </w:r>
      <w:r w:rsidRPr="00D60A7E">
        <w:rPr>
          <w:b/>
          <w:sz w:val="28"/>
          <w:szCs w:val="28"/>
        </w:rPr>
        <w:t xml:space="preserve">+5.74% </w:t>
      </w:r>
      <w:r w:rsidRPr="00D60A7E">
        <w:rPr>
          <w:sz w:val="28"/>
          <w:szCs w:val="28"/>
        </w:rPr>
        <w:t>(classe R)</w:t>
      </w:r>
      <w:r w:rsidR="007736BF" w:rsidRPr="00D60A7E">
        <w:rPr>
          <w:sz w:val="28"/>
          <w:szCs w:val="28"/>
        </w:rPr>
        <w:t xml:space="preserve"> e </w:t>
      </w:r>
      <w:r w:rsidR="007736BF" w:rsidRPr="00D60A7E">
        <w:rPr>
          <w:b/>
          <w:sz w:val="28"/>
          <w:szCs w:val="28"/>
        </w:rPr>
        <w:t>+8.75%</w:t>
      </w:r>
      <w:r w:rsidR="007736BF" w:rsidRPr="00D60A7E">
        <w:rPr>
          <w:sz w:val="28"/>
          <w:szCs w:val="28"/>
        </w:rPr>
        <w:t xml:space="preserve"> (classe PIC6)</w:t>
      </w:r>
      <w:r w:rsidR="00E21D0B" w:rsidRPr="00D60A7E">
        <w:rPr>
          <w:sz w:val="28"/>
          <w:szCs w:val="28"/>
        </w:rPr>
        <w:t>,</w:t>
      </w:r>
      <w:r w:rsidR="00E21D0B" w:rsidRPr="007736BF">
        <w:rPr>
          <w:sz w:val="28"/>
          <w:szCs w:val="28"/>
        </w:rPr>
        <w:t xml:space="preserve"> </w:t>
      </w:r>
      <w:r w:rsidRPr="007736BF">
        <w:rPr>
          <w:sz w:val="28"/>
          <w:szCs w:val="28"/>
        </w:rPr>
        <w:t xml:space="preserve">risultati </w:t>
      </w:r>
      <w:r w:rsidRPr="0085224A">
        <w:rPr>
          <w:sz w:val="28"/>
          <w:szCs w:val="28"/>
        </w:rPr>
        <w:t xml:space="preserve">ben superiori all’indice Fideuram dei fondi </w:t>
      </w:r>
      <w:r w:rsidR="00D64869" w:rsidRPr="0085224A">
        <w:rPr>
          <w:sz w:val="28"/>
          <w:szCs w:val="28"/>
        </w:rPr>
        <w:t>flessibili che chiude con +4.13%.</w:t>
      </w:r>
    </w:p>
    <w:p w:rsidR="00017226" w:rsidRDefault="00017226" w:rsidP="008F05C2">
      <w:pPr>
        <w:spacing w:line="276" w:lineRule="auto"/>
        <w:jc w:val="both"/>
        <w:rPr>
          <w:b/>
          <w:bCs/>
          <w:sz w:val="28"/>
          <w:szCs w:val="28"/>
        </w:rPr>
      </w:pPr>
    </w:p>
    <w:p w:rsidR="00F4544C" w:rsidRPr="00F4544C" w:rsidRDefault="00F4544C" w:rsidP="008F05C2">
      <w:pPr>
        <w:spacing w:line="276" w:lineRule="auto"/>
        <w:jc w:val="both"/>
        <w:rPr>
          <w:b/>
          <w:bCs/>
          <w:sz w:val="28"/>
          <w:szCs w:val="28"/>
        </w:rPr>
      </w:pPr>
      <w:r w:rsidRPr="00F4544C">
        <w:rPr>
          <w:b/>
          <w:bCs/>
          <w:sz w:val="28"/>
          <w:szCs w:val="28"/>
        </w:rPr>
        <w:t>PIANI INDIVIDUALI DI RISPARMIO</w:t>
      </w:r>
      <w:r>
        <w:rPr>
          <w:b/>
          <w:bCs/>
          <w:sz w:val="28"/>
          <w:szCs w:val="28"/>
        </w:rPr>
        <w:t xml:space="preserve"> – ULTIMI AGGIORNAMENTI e NOVITA’</w:t>
      </w:r>
    </w:p>
    <w:p w:rsidR="0084102F" w:rsidRDefault="00D64869" w:rsidP="0084102F">
      <w:pPr>
        <w:spacing w:line="276" w:lineRule="auto"/>
        <w:jc w:val="both"/>
        <w:rPr>
          <w:sz w:val="28"/>
          <w:szCs w:val="28"/>
        </w:rPr>
      </w:pPr>
      <w:r w:rsidRPr="0085224A">
        <w:rPr>
          <w:sz w:val="28"/>
          <w:szCs w:val="28"/>
        </w:rPr>
        <w:t xml:space="preserve">Ci pare importante sottolineare </w:t>
      </w:r>
      <w:r w:rsidR="001E5CE4">
        <w:rPr>
          <w:sz w:val="28"/>
          <w:szCs w:val="28"/>
        </w:rPr>
        <w:t xml:space="preserve">il forte </w:t>
      </w:r>
      <w:r w:rsidR="006535F8" w:rsidRPr="0085224A">
        <w:rPr>
          <w:sz w:val="28"/>
          <w:szCs w:val="28"/>
        </w:rPr>
        <w:t xml:space="preserve">ritorno di attenzione sui Piani Individuali di Risparmio </w:t>
      </w:r>
      <w:r w:rsidR="001E5CE4">
        <w:rPr>
          <w:sz w:val="28"/>
          <w:szCs w:val="28"/>
        </w:rPr>
        <w:t xml:space="preserve">da parte </w:t>
      </w:r>
      <w:r w:rsidR="0084102F">
        <w:rPr>
          <w:sz w:val="28"/>
          <w:szCs w:val="28"/>
        </w:rPr>
        <w:t xml:space="preserve">del mercato, dei risparmiatori e </w:t>
      </w:r>
      <w:r w:rsidR="001E5CE4">
        <w:rPr>
          <w:sz w:val="28"/>
          <w:szCs w:val="28"/>
        </w:rPr>
        <w:t>del Legislatore</w:t>
      </w:r>
      <w:r w:rsidR="0084102F">
        <w:rPr>
          <w:sz w:val="28"/>
          <w:szCs w:val="28"/>
        </w:rPr>
        <w:t>.</w:t>
      </w:r>
      <w:r w:rsidR="001E5CE4">
        <w:rPr>
          <w:sz w:val="28"/>
          <w:szCs w:val="28"/>
        </w:rPr>
        <w:t xml:space="preserve"> </w:t>
      </w:r>
    </w:p>
    <w:p w:rsidR="00D456C3" w:rsidRPr="0084102F" w:rsidRDefault="008A27CA" w:rsidP="0084102F">
      <w:pPr>
        <w:pStyle w:val="Paragrafoelenco"/>
        <w:numPr>
          <w:ilvl w:val="0"/>
          <w:numId w:val="9"/>
        </w:num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</w:t>
      </w:r>
      <w:r w:rsidR="00D456C3" w:rsidRPr="0084102F">
        <w:rPr>
          <w:b/>
          <w:bCs/>
          <w:sz w:val="28"/>
          <w:szCs w:val="28"/>
        </w:rPr>
        <w:t>a Legge di Bilancio 2022 prevede</w:t>
      </w:r>
      <w:r w:rsidR="00996DE8">
        <w:rPr>
          <w:b/>
          <w:bCs/>
          <w:sz w:val="28"/>
          <w:szCs w:val="28"/>
        </w:rPr>
        <w:t>,</w:t>
      </w:r>
      <w:r w:rsidR="00D456C3" w:rsidRPr="0084102F">
        <w:rPr>
          <w:b/>
          <w:bCs/>
          <w:sz w:val="28"/>
          <w:szCs w:val="28"/>
        </w:rPr>
        <w:t xml:space="preserve"> per i </w:t>
      </w:r>
      <w:r w:rsidR="00D456C3" w:rsidRPr="0084102F">
        <w:rPr>
          <w:b/>
          <w:bCs/>
          <w:sz w:val="28"/>
          <w:szCs w:val="28"/>
          <w:u w:val="single"/>
        </w:rPr>
        <w:t xml:space="preserve">PIR tradizionali, un innalzamento della soglia </w:t>
      </w:r>
      <w:r>
        <w:rPr>
          <w:b/>
          <w:bCs/>
          <w:sz w:val="28"/>
          <w:szCs w:val="28"/>
          <w:u w:val="single"/>
        </w:rPr>
        <w:t xml:space="preserve">massima </w:t>
      </w:r>
      <w:r w:rsidR="00D456C3" w:rsidRPr="0084102F">
        <w:rPr>
          <w:b/>
          <w:bCs/>
          <w:sz w:val="28"/>
          <w:szCs w:val="28"/>
          <w:u w:val="single"/>
        </w:rPr>
        <w:t xml:space="preserve">di investimento annuale da €30.000 a €40.000 e </w:t>
      </w:r>
      <w:r w:rsidRPr="0084102F">
        <w:rPr>
          <w:b/>
          <w:bCs/>
          <w:sz w:val="28"/>
          <w:szCs w:val="28"/>
          <w:u w:val="single"/>
        </w:rPr>
        <w:t>del</w:t>
      </w:r>
      <w:r>
        <w:rPr>
          <w:b/>
          <w:bCs/>
          <w:sz w:val="28"/>
          <w:szCs w:val="28"/>
          <w:u w:val="single"/>
        </w:rPr>
        <w:t>l’</w:t>
      </w:r>
      <w:r w:rsidRPr="0084102F">
        <w:rPr>
          <w:b/>
          <w:bCs/>
          <w:sz w:val="28"/>
          <w:szCs w:val="28"/>
          <w:u w:val="single"/>
        </w:rPr>
        <w:t>aumento</w:t>
      </w:r>
      <w:r w:rsidR="00D456C3" w:rsidRPr="0084102F">
        <w:rPr>
          <w:b/>
          <w:bCs/>
          <w:sz w:val="28"/>
          <w:szCs w:val="28"/>
          <w:u w:val="single"/>
        </w:rPr>
        <w:t xml:space="preserve"> del </w:t>
      </w:r>
      <w:r w:rsidR="00D456C3" w:rsidRPr="0084102F">
        <w:rPr>
          <w:b/>
          <w:bCs/>
          <w:i/>
          <w:iCs/>
          <w:sz w:val="28"/>
          <w:szCs w:val="28"/>
          <w:u w:val="single"/>
        </w:rPr>
        <w:t>plafond</w:t>
      </w:r>
      <w:r w:rsidR="00D456C3" w:rsidRPr="0084102F">
        <w:rPr>
          <w:b/>
          <w:bCs/>
          <w:sz w:val="28"/>
          <w:szCs w:val="28"/>
          <w:u w:val="single"/>
        </w:rPr>
        <w:t xml:space="preserve"> complessivo, nell’arco degli anni, da </w:t>
      </w:r>
      <w:bookmarkStart w:id="0" w:name="_Hlk92883554"/>
      <w:r w:rsidR="00D456C3" w:rsidRPr="0084102F">
        <w:rPr>
          <w:b/>
          <w:bCs/>
          <w:sz w:val="28"/>
          <w:szCs w:val="28"/>
          <w:u w:val="single"/>
        </w:rPr>
        <w:t>€</w:t>
      </w:r>
      <w:bookmarkEnd w:id="0"/>
      <w:r w:rsidR="00D456C3" w:rsidRPr="0084102F">
        <w:rPr>
          <w:b/>
          <w:bCs/>
          <w:sz w:val="28"/>
          <w:szCs w:val="28"/>
          <w:u w:val="single"/>
        </w:rPr>
        <w:t>150.000 a €200.000</w:t>
      </w:r>
      <w:r w:rsidR="00D456C3" w:rsidRPr="0084102F">
        <w:rPr>
          <w:b/>
          <w:bCs/>
          <w:sz w:val="28"/>
          <w:szCs w:val="28"/>
        </w:rPr>
        <w:t xml:space="preserve">. </w:t>
      </w:r>
    </w:p>
    <w:p w:rsidR="001A59C0" w:rsidRPr="008A27CA" w:rsidRDefault="0084102F" w:rsidP="008A27CA">
      <w:pPr>
        <w:pStyle w:val="Paragrafoelenco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8A27CA">
        <w:rPr>
          <w:sz w:val="28"/>
          <w:szCs w:val="28"/>
        </w:rPr>
        <w:t xml:space="preserve">L’Agenzia delle Entrate ha inoltre fornito alcuni chiarimenti che, accogliendo i suggerimenti degli operatori, </w:t>
      </w:r>
      <w:r w:rsidRPr="00996DE8">
        <w:rPr>
          <w:b/>
          <w:sz w:val="28"/>
          <w:szCs w:val="28"/>
        </w:rPr>
        <w:t>faciliteranno ulteriormente la canalizzazione del risparmio investita nei PIR verso le aziende italiane</w:t>
      </w:r>
      <w:r w:rsidR="008A27CA">
        <w:rPr>
          <w:sz w:val="28"/>
          <w:szCs w:val="28"/>
        </w:rPr>
        <w:t>, in particolare le PMI,</w:t>
      </w:r>
      <w:r w:rsidR="001A59C0" w:rsidRPr="008A27CA">
        <w:rPr>
          <w:sz w:val="28"/>
          <w:szCs w:val="28"/>
        </w:rPr>
        <w:t xml:space="preserve"> al fine di finanziare i loro progetti di crescita e di sviluppo.</w:t>
      </w:r>
    </w:p>
    <w:p w:rsidR="003D460E" w:rsidRDefault="001D6737" w:rsidP="001D6737">
      <w:pPr>
        <w:shd w:val="clear" w:color="auto" w:fill="FFFFFF"/>
        <w:spacing w:before="100" w:beforeAutospacing="1" w:after="100" w:afterAutospacing="1" w:line="276" w:lineRule="auto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Ci permettiamo di ricordare che </w:t>
      </w:r>
      <w:r w:rsidR="002C05AD">
        <w:rPr>
          <w:sz w:val="28"/>
          <w:szCs w:val="28"/>
        </w:rPr>
        <w:t xml:space="preserve">i </w:t>
      </w:r>
      <w:r w:rsidR="002C05AD" w:rsidRPr="00996DE8">
        <w:rPr>
          <w:b/>
          <w:sz w:val="28"/>
          <w:szCs w:val="28"/>
        </w:rPr>
        <w:t xml:space="preserve">Piani Individuali di Risparmio di </w:t>
      </w:r>
      <w:r w:rsidRPr="00996DE8">
        <w:rPr>
          <w:b/>
          <w:sz w:val="28"/>
          <w:szCs w:val="28"/>
        </w:rPr>
        <w:t>Zenit SGR</w:t>
      </w:r>
      <w:r>
        <w:rPr>
          <w:sz w:val="28"/>
          <w:szCs w:val="28"/>
        </w:rPr>
        <w:t xml:space="preserve"> </w:t>
      </w:r>
      <w:r w:rsidR="002C05AD">
        <w:rPr>
          <w:sz w:val="28"/>
          <w:szCs w:val="28"/>
        </w:rPr>
        <w:t>(ZERO TAX PIR) prevedono di poter</w:t>
      </w:r>
      <w:r w:rsidR="00996DE8">
        <w:rPr>
          <w:sz w:val="28"/>
          <w:szCs w:val="28"/>
        </w:rPr>
        <w:t xml:space="preserve">ne </w:t>
      </w:r>
      <w:r w:rsidR="00996DE8" w:rsidRPr="00996DE8">
        <w:rPr>
          <w:b/>
          <w:sz w:val="28"/>
          <w:szCs w:val="28"/>
        </w:rPr>
        <w:t>diversificar</w:t>
      </w:r>
      <w:r w:rsidR="002C05AD" w:rsidRPr="00996DE8">
        <w:rPr>
          <w:b/>
          <w:sz w:val="28"/>
          <w:szCs w:val="28"/>
        </w:rPr>
        <w:t xml:space="preserve">e la composizione nei </w:t>
      </w:r>
      <w:r w:rsidRPr="00996DE8">
        <w:rPr>
          <w:b/>
          <w:sz w:val="28"/>
          <w:szCs w:val="28"/>
        </w:rPr>
        <w:t>due fondi PIR</w:t>
      </w:r>
      <w:r>
        <w:rPr>
          <w:sz w:val="28"/>
          <w:szCs w:val="28"/>
        </w:rPr>
        <w:t>, un azionario e un obbligazionario</w:t>
      </w:r>
      <w:r w:rsidR="008A27CA">
        <w:rPr>
          <w:sz w:val="28"/>
          <w:szCs w:val="28"/>
        </w:rPr>
        <w:t xml:space="preserve"> misto</w:t>
      </w:r>
      <w:r>
        <w:rPr>
          <w:sz w:val="28"/>
          <w:szCs w:val="28"/>
        </w:rPr>
        <w:t xml:space="preserve"> </w:t>
      </w:r>
      <w:r w:rsidR="008A27CA">
        <w:rPr>
          <w:sz w:val="28"/>
          <w:szCs w:val="28"/>
        </w:rPr>
        <w:t xml:space="preserve">(ossia che prevede la possibilità di investire una piccola quota in azioni - </w:t>
      </w:r>
      <w:r>
        <w:rPr>
          <w:sz w:val="28"/>
          <w:szCs w:val="28"/>
        </w:rPr>
        <w:t xml:space="preserve">mediamente </w:t>
      </w:r>
      <w:r w:rsidR="008A27CA">
        <w:rPr>
          <w:sz w:val="28"/>
          <w:szCs w:val="28"/>
        </w:rPr>
        <w:t>i</w:t>
      </w:r>
      <w:r>
        <w:rPr>
          <w:sz w:val="28"/>
          <w:szCs w:val="28"/>
        </w:rPr>
        <w:t>l 1</w:t>
      </w:r>
      <w:r w:rsidR="008A27CA">
        <w:rPr>
          <w:sz w:val="28"/>
          <w:szCs w:val="28"/>
        </w:rPr>
        <w:t>0</w:t>
      </w:r>
      <w:r>
        <w:rPr>
          <w:sz w:val="28"/>
          <w:szCs w:val="28"/>
        </w:rPr>
        <w:t>/15%</w:t>
      </w:r>
      <w:r w:rsidR="003D460E">
        <w:rPr>
          <w:sz w:val="28"/>
          <w:szCs w:val="28"/>
        </w:rPr>
        <w:t>)</w:t>
      </w:r>
      <w:r>
        <w:rPr>
          <w:sz w:val="28"/>
          <w:szCs w:val="28"/>
        </w:rPr>
        <w:t xml:space="preserve">, che </w:t>
      </w:r>
      <w:r w:rsidRPr="00D1563E">
        <w:rPr>
          <w:b/>
          <w:sz w:val="28"/>
          <w:szCs w:val="28"/>
        </w:rPr>
        <w:t xml:space="preserve">consentono di </w:t>
      </w:r>
      <w:r w:rsidR="006F7699" w:rsidRPr="00D1563E">
        <w:rPr>
          <w:b/>
          <w:sz w:val="28"/>
          <w:szCs w:val="28"/>
        </w:rPr>
        <w:t xml:space="preserve">modulare </w:t>
      </w:r>
      <w:r w:rsidRPr="00D1563E">
        <w:rPr>
          <w:b/>
          <w:sz w:val="28"/>
          <w:szCs w:val="28"/>
        </w:rPr>
        <w:t>il Piano</w:t>
      </w:r>
      <w:r>
        <w:rPr>
          <w:sz w:val="28"/>
          <w:szCs w:val="28"/>
        </w:rPr>
        <w:t xml:space="preserve"> nella sua composizione in base al</w:t>
      </w:r>
      <w:r w:rsidR="003D460E">
        <w:rPr>
          <w:sz w:val="28"/>
          <w:szCs w:val="28"/>
        </w:rPr>
        <w:t xml:space="preserve"> </w:t>
      </w:r>
      <w:r w:rsidR="003D460E" w:rsidRPr="00D1563E">
        <w:rPr>
          <w:b/>
          <w:sz w:val="28"/>
          <w:szCs w:val="28"/>
        </w:rPr>
        <w:t>profilo</w:t>
      </w:r>
      <w:r w:rsidR="003D460E">
        <w:rPr>
          <w:sz w:val="28"/>
          <w:szCs w:val="28"/>
        </w:rPr>
        <w:t xml:space="preserve"> di ogni singolo </w:t>
      </w:r>
      <w:r>
        <w:rPr>
          <w:sz w:val="28"/>
          <w:szCs w:val="28"/>
        </w:rPr>
        <w:t>risparmiatore</w:t>
      </w:r>
      <w:r w:rsidR="006F7699">
        <w:rPr>
          <w:sz w:val="28"/>
          <w:szCs w:val="28"/>
        </w:rPr>
        <w:t xml:space="preserve">, ovvero in relazione </w:t>
      </w:r>
      <w:r w:rsidR="006F7699" w:rsidRPr="00D1563E">
        <w:rPr>
          <w:sz w:val="28"/>
          <w:szCs w:val="28"/>
        </w:rPr>
        <w:t>all’</w:t>
      </w:r>
      <w:r w:rsidR="006F7699" w:rsidRPr="00D1563E">
        <w:rPr>
          <w:b/>
          <w:sz w:val="28"/>
          <w:szCs w:val="28"/>
        </w:rPr>
        <w:t>andamento dei mercati</w:t>
      </w:r>
      <w:r w:rsidR="006F7699">
        <w:rPr>
          <w:sz w:val="28"/>
          <w:szCs w:val="28"/>
        </w:rPr>
        <w:t xml:space="preserve"> nel corso degli anni. </w:t>
      </w:r>
    </w:p>
    <w:p w:rsidR="001D6737" w:rsidRPr="001D6737" w:rsidRDefault="006F7699" w:rsidP="001D6737">
      <w:pPr>
        <w:shd w:val="clear" w:color="auto" w:fill="FFFFFF"/>
        <w:spacing w:before="100" w:beforeAutospacing="1" w:after="100" w:afterAutospacing="1" w:line="276" w:lineRule="auto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Non va dimenticato inoltre che la </w:t>
      </w:r>
      <w:r w:rsidRPr="00D1563E">
        <w:rPr>
          <w:b/>
          <w:sz w:val="28"/>
          <w:szCs w:val="28"/>
        </w:rPr>
        <w:t xml:space="preserve">detenzione superiore a </w:t>
      </w:r>
      <w:r w:rsidR="00B74DF6" w:rsidRPr="00D1563E">
        <w:rPr>
          <w:b/>
          <w:sz w:val="28"/>
          <w:szCs w:val="28"/>
        </w:rPr>
        <w:t>cinque</w:t>
      </w:r>
      <w:r w:rsidRPr="00D1563E">
        <w:rPr>
          <w:b/>
          <w:sz w:val="28"/>
          <w:szCs w:val="28"/>
        </w:rPr>
        <w:t xml:space="preserve"> anni</w:t>
      </w:r>
      <w:r>
        <w:rPr>
          <w:sz w:val="28"/>
          <w:szCs w:val="28"/>
        </w:rPr>
        <w:t xml:space="preserve"> consente di </w:t>
      </w:r>
      <w:r w:rsidRPr="00D1563E">
        <w:rPr>
          <w:b/>
          <w:sz w:val="28"/>
          <w:szCs w:val="28"/>
        </w:rPr>
        <w:t xml:space="preserve">acquisire definitivamente </w:t>
      </w:r>
      <w:r w:rsidR="003D460E" w:rsidRPr="00D1563E">
        <w:rPr>
          <w:b/>
          <w:sz w:val="28"/>
          <w:szCs w:val="28"/>
        </w:rPr>
        <w:t xml:space="preserve">e per sempre </w:t>
      </w:r>
      <w:r w:rsidRPr="00D1563E">
        <w:rPr>
          <w:b/>
          <w:sz w:val="28"/>
          <w:szCs w:val="28"/>
        </w:rPr>
        <w:t>l’esenzione fiscale sui redditi</w:t>
      </w:r>
      <w:r>
        <w:rPr>
          <w:sz w:val="28"/>
          <w:szCs w:val="28"/>
        </w:rPr>
        <w:t xml:space="preserve"> da capi</w:t>
      </w:r>
      <w:r w:rsidR="00B74DF6">
        <w:rPr>
          <w:sz w:val="28"/>
          <w:szCs w:val="28"/>
        </w:rPr>
        <w:t xml:space="preserve">tale </w:t>
      </w:r>
      <w:r>
        <w:rPr>
          <w:sz w:val="28"/>
          <w:szCs w:val="28"/>
        </w:rPr>
        <w:t xml:space="preserve">e diversi nonché </w:t>
      </w:r>
      <w:r w:rsidRPr="00D1563E">
        <w:rPr>
          <w:sz w:val="28"/>
          <w:szCs w:val="28"/>
        </w:rPr>
        <w:t>sull’</w:t>
      </w:r>
      <w:r w:rsidRPr="00D1563E">
        <w:rPr>
          <w:b/>
          <w:sz w:val="28"/>
          <w:szCs w:val="28"/>
        </w:rPr>
        <w:t>imposta di successione</w:t>
      </w:r>
      <w:r>
        <w:rPr>
          <w:sz w:val="28"/>
          <w:szCs w:val="28"/>
        </w:rPr>
        <w:t xml:space="preserve">, permettendo l’accumulo di un risparmio che progressivamente diventa </w:t>
      </w:r>
      <w:r w:rsidRPr="00D1563E">
        <w:rPr>
          <w:b/>
          <w:sz w:val="28"/>
          <w:szCs w:val="28"/>
        </w:rPr>
        <w:t>fiscalmente esente</w:t>
      </w:r>
      <w:r>
        <w:rPr>
          <w:sz w:val="28"/>
          <w:szCs w:val="28"/>
        </w:rPr>
        <w:t xml:space="preserve">. L’innalzamento delle soglie di investimento, a partire dal </w:t>
      </w:r>
      <w:r w:rsidR="00820C82">
        <w:rPr>
          <w:sz w:val="28"/>
          <w:szCs w:val="28"/>
        </w:rPr>
        <w:t>1° gennaio</w:t>
      </w:r>
      <w:r>
        <w:rPr>
          <w:sz w:val="28"/>
          <w:szCs w:val="28"/>
        </w:rPr>
        <w:t xml:space="preserve"> 2022, </w:t>
      </w:r>
      <w:r w:rsidR="00820C82">
        <w:rPr>
          <w:sz w:val="28"/>
          <w:szCs w:val="28"/>
        </w:rPr>
        <w:t>allarga tale opportunità.</w:t>
      </w:r>
      <w:r w:rsidR="003D460E">
        <w:rPr>
          <w:sz w:val="28"/>
          <w:szCs w:val="28"/>
        </w:rPr>
        <w:t xml:space="preserve"> Per fare un esempio pratico, il nostro </w:t>
      </w:r>
      <w:r w:rsidR="00420D0B">
        <w:rPr>
          <w:sz w:val="28"/>
          <w:szCs w:val="28"/>
        </w:rPr>
        <w:t>risparmiatore</w:t>
      </w:r>
      <w:r w:rsidR="003D460E">
        <w:rPr>
          <w:sz w:val="28"/>
          <w:szCs w:val="28"/>
        </w:rPr>
        <w:t xml:space="preserve"> che avesse alimentato negli anni il proprio PIR </w:t>
      </w:r>
      <w:r w:rsidR="009F28D7">
        <w:rPr>
          <w:sz w:val="28"/>
          <w:szCs w:val="28"/>
        </w:rPr>
        <w:t xml:space="preserve">fino ad avere a inizio 2021 un patrimonio investito in Zenit Pianeta Italia di </w:t>
      </w:r>
      <w:r w:rsidR="009F28D7" w:rsidRPr="009F28D7">
        <w:rPr>
          <w:sz w:val="28"/>
          <w:szCs w:val="28"/>
        </w:rPr>
        <w:t>€</w:t>
      </w:r>
      <w:r w:rsidR="009F28D7">
        <w:rPr>
          <w:sz w:val="28"/>
          <w:szCs w:val="28"/>
        </w:rPr>
        <w:t xml:space="preserve">100.000, </w:t>
      </w:r>
      <w:r w:rsidR="009F28D7">
        <w:rPr>
          <w:sz w:val="28"/>
          <w:szCs w:val="28"/>
        </w:rPr>
        <w:lastRenderedPageBreak/>
        <w:t xml:space="preserve">avrebbe beneficiato integralmente della performance del fondo, risparmiando </w:t>
      </w:r>
      <w:r w:rsidR="004D1598">
        <w:rPr>
          <w:sz w:val="28"/>
          <w:szCs w:val="28"/>
        </w:rPr>
        <w:t xml:space="preserve">il 26% di tasse ossia circa 6.600 euro. </w:t>
      </w:r>
    </w:p>
    <w:p w:rsidR="00F24717" w:rsidRPr="0085224A" w:rsidRDefault="00BF459F" w:rsidP="008F05C2">
      <w:pPr>
        <w:spacing w:line="276" w:lineRule="auto"/>
        <w:jc w:val="both"/>
        <w:rPr>
          <w:sz w:val="28"/>
          <w:szCs w:val="28"/>
        </w:rPr>
      </w:pPr>
      <w:r w:rsidRPr="0085224A">
        <w:rPr>
          <w:sz w:val="28"/>
          <w:szCs w:val="28"/>
        </w:rPr>
        <w:t xml:space="preserve">Dalla lettura delle norme, si comprende la volontà di </w:t>
      </w:r>
      <w:r w:rsidRPr="00D1563E">
        <w:rPr>
          <w:b/>
          <w:sz w:val="28"/>
          <w:szCs w:val="28"/>
        </w:rPr>
        <w:t>rilanciare lo strumento PIR</w:t>
      </w:r>
      <w:r w:rsidRPr="0085224A">
        <w:rPr>
          <w:sz w:val="28"/>
          <w:szCs w:val="28"/>
        </w:rPr>
        <w:t xml:space="preserve">, </w:t>
      </w:r>
      <w:r w:rsidR="0055439C">
        <w:rPr>
          <w:sz w:val="28"/>
          <w:szCs w:val="28"/>
        </w:rPr>
        <w:t xml:space="preserve">introdotto in Italia </w:t>
      </w:r>
      <w:r w:rsidRPr="0085224A">
        <w:rPr>
          <w:sz w:val="28"/>
          <w:szCs w:val="28"/>
        </w:rPr>
        <w:t>nel 2017, attraverso un allargamento della platea delle società investibili, un’ulteriore riduzione dei costi di quotazione per</w:t>
      </w:r>
      <w:r w:rsidR="0055439C">
        <w:rPr>
          <w:sz w:val="28"/>
          <w:szCs w:val="28"/>
        </w:rPr>
        <w:t xml:space="preserve"> le imprese </w:t>
      </w:r>
      <w:r w:rsidRPr="0085224A">
        <w:rPr>
          <w:sz w:val="28"/>
          <w:szCs w:val="28"/>
        </w:rPr>
        <w:t>innovative</w:t>
      </w:r>
      <w:r w:rsidR="003D460E">
        <w:rPr>
          <w:sz w:val="28"/>
          <w:szCs w:val="28"/>
        </w:rPr>
        <w:t xml:space="preserve"> e l’aumento del capitale investibile.</w:t>
      </w:r>
    </w:p>
    <w:p w:rsidR="00DF3BBA" w:rsidRPr="0085224A" w:rsidRDefault="00BF459F" w:rsidP="008F05C2">
      <w:pPr>
        <w:shd w:val="clear" w:color="auto" w:fill="FFFFFF"/>
        <w:spacing w:after="0" w:line="276" w:lineRule="auto"/>
        <w:jc w:val="both"/>
        <w:textAlignment w:val="baseline"/>
        <w:rPr>
          <w:sz w:val="28"/>
          <w:szCs w:val="28"/>
        </w:rPr>
      </w:pPr>
      <w:r w:rsidRPr="0085224A">
        <w:rPr>
          <w:sz w:val="28"/>
          <w:szCs w:val="28"/>
        </w:rPr>
        <w:t xml:space="preserve">Lo scenario che si apre per il nostro Paese presenta </w:t>
      </w:r>
      <w:r w:rsidRPr="00D1563E">
        <w:rPr>
          <w:b/>
          <w:sz w:val="28"/>
          <w:szCs w:val="28"/>
        </w:rPr>
        <w:t>aspetti di sicuro interesse</w:t>
      </w:r>
      <w:r w:rsidRPr="0085224A">
        <w:rPr>
          <w:sz w:val="28"/>
          <w:szCs w:val="28"/>
        </w:rPr>
        <w:t xml:space="preserve">, come è stato ribadito </w:t>
      </w:r>
      <w:r w:rsidR="004D1598">
        <w:rPr>
          <w:sz w:val="28"/>
          <w:szCs w:val="28"/>
        </w:rPr>
        <w:t xml:space="preserve">in un recente </w:t>
      </w:r>
      <w:r w:rsidRPr="0085224A">
        <w:rPr>
          <w:sz w:val="28"/>
          <w:szCs w:val="28"/>
        </w:rPr>
        <w:t xml:space="preserve">report di Prometeia, </w:t>
      </w:r>
      <w:r w:rsidR="00DF3BBA" w:rsidRPr="0085224A">
        <w:rPr>
          <w:sz w:val="28"/>
          <w:szCs w:val="28"/>
        </w:rPr>
        <w:t>ch</w:t>
      </w:r>
      <w:r w:rsidR="004D1598">
        <w:rPr>
          <w:sz w:val="28"/>
          <w:szCs w:val="28"/>
        </w:rPr>
        <w:t xml:space="preserve">e </w:t>
      </w:r>
      <w:r w:rsidR="00DF3BBA" w:rsidRPr="0085224A">
        <w:rPr>
          <w:sz w:val="28"/>
          <w:szCs w:val="28"/>
        </w:rPr>
        <w:t xml:space="preserve">delinea alcune previsioni per i mesi e </w:t>
      </w:r>
      <w:r w:rsidR="00D738FC" w:rsidRPr="0085224A">
        <w:rPr>
          <w:sz w:val="28"/>
          <w:szCs w:val="28"/>
        </w:rPr>
        <w:t xml:space="preserve">per </w:t>
      </w:r>
      <w:r w:rsidR="00DF3BBA" w:rsidRPr="0085224A">
        <w:rPr>
          <w:sz w:val="28"/>
          <w:szCs w:val="28"/>
        </w:rPr>
        <w:t>gli anni a venire</w:t>
      </w:r>
      <w:r w:rsidR="00D738FC" w:rsidRPr="0085224A">
        <w:rPr>
          <w:sz w:val="28"/>
          <w:szCs w:val="28"/>
        </w:rPr>
        <w:t xml:space="preserve">, </w:t>
      </w:r>
      <w:r w:rsidR="00DF3BBA" w:rsidRPr="0085224A">
        <w:rPr>
          <w:sz w:val="28"/>
          <w:szCs w:val="28"/>
        </w:rPr>
        <w:t xml:space="preserve">focalizzando l’attenzione </w:t>
      </w:r>
      <w:r w:rsidR="008F05C2" w:rsidRPr="0085224A">
        <w:rPr>
          <w:sz w:val="28"/>
          <w:szCs w:val="28"/>
        </w:rPr>
        <w:t>sulle tendenze</w:t>
      </w:r>
      <w:r w:rsidR="00DF3BBA" w:rsidRPr="0085224A">
        <w:rPr>
          <w:sz w:val="28"/>
          <w:szCs w:val="28"/>
        </w:rPr>
        <w:t xml:space="preserve"> che influenzeranno l’economia italiana nel 2022.</w:t>
      </w:r>
    </w:p>
    <w:p w:rsidR="00D738FC" w:rsidRPr="0085224A" w:rsidRDefault="008F05C2" w:rsidP="008F05C2">
      <w:pPr>
        <w:shd w:val="clear" w:color="auto" w:fill="FFFFFF"/>
        <w:spacing w:after="0" w:line="276" w:lineRule="auto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Nel report v</w:t>
      </w:r>
      <w:r w:rsidR="00D738FC" w:rsidRPr="0085224A">
        <w:rPr>
          <w:sz w:val="28"/>
          <w:szCs w:val="28"/>
        </w:rPr>
        <w:t xml:space="preserve">i sono </w:t>
      </w:r>
      <w:r w:rsidR="00E749CC" w:rsidRPr="0085224A">
        <w:rPr>
          <w:sz w:val="28"/>
          <w:szCs w:val="28"/>
        </w:rPr>
        <w:t xml:space="preserve">alcuni aspetti che riguardano il mondo produttivo che sono </w:t>
      </w:r>
      <w:r w:rsidR="00D738FC" w:rsidRPr="0085224A">
        <w:rPr>
          <w:sz w:val="28"/>
          <w:szCs w:val="28"/>
        </w:rPr>
        <w:t xml:space="preserve">punti di sicura forza sui quali, </w:t>
      </w:r>
      <w:r w:rsidR="00E749CC" w:rsidRPr="0085224A">
        <w:rPr>
          <w:sz w:val="28"/>
          <w:szCs w:val="28"/>
        </w:rPr>
        <w:t xml:space="preserve">in </w:t>
      </w:r>
      <w:r w:rsidR="00D738FC" w:rsidRPr="0085224A">
        <w:rPr>
          <w:sz w:val="28"/>
          <w:szCs w:val="28"/>
        </w:rPr>
        <w:t>un auspicabile clima di stabilità politic</w:t>
      </w:r>
      <w:r w:rsidR="00E749CC" w:rsidRPr="0085224A">
        <w:rPr>
          <w:sz w:val="28"/>
          <w:szCs w:val="28"/>
        </w:rPr>
        <w:t>a, si</w:t>
      </w:r>
      <w:r w:rsidR="00D738FC" w:rsidRPr="0085224A">
        <w:rPr>
          <w:sz w:val="28"/>
          <w:szCs w:val="28"/>
        </w:rPr>
        <w:t xml:space="preserve"> potrà ben lavorare</w:t>
      </w:r>
      <w:r w:rsidR="00E749CC" w:rsidRPr="0085224A">
        <w:rPr>
          <w:sz w:val="28"/>
          <w:szCs w:val="28"/>
        </w:rPr>
        <w:t>:</w:t>
      </w:r>
    </w:p>
    <w:p w:rsidR="00E749CC" w:rsidRPr="0085224A" w:rsidRDefault="00D738FC" w:rsidP="00667AAD">
      <w:pPr>
        <w:pStyle w:val="Paragrafoelenco"/>
        <w:numPr>
          <w:ilvl w:val="0"/>
          <w:numId w:val="1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sz w:val="28"/>
          <w:szCs w:val="28"/>
        </w:rPr>
      </w:pPr>
      <w:r w:rsidRPr="0085224A">
        <w:rPr>
          <w:sz w:val="28"/>
          <w:szCs w:val="28"/>
        </w:rPr>
        <w:t xml:space="preserve">nella produzione industriale, </w:t>
      </w:r>
      <w:r w:rsidRPr="00D1563E">
        <w:rPr>
          <w:b/>
          <w:sz w:val="28"/>
          <w:szCs w:val="28"/>
        </w:rPr>
        <w:t>l’Italia è l’unico tra i grandi quattro dell’area Euro ad aver recuperato i livelli pre-crisi</w:t>
      </w:r>
      <w:r w:rsidRPr="0085224A">
        <w:rPr>
          <w:sz w:val="28"/>
          <w:szCs w:val="28"/>
        </w:rPr>
        <w:t xml:space="preserve">, </w:t>
      </w:r>
      <w:r w:rsidR="00E749CC" w:rsidRPr="0085224A">
        <w:rPr>
          <w:sz w:val="28"/>
          <w:szCs w:val="28"/>
        </w:rPr>
        <w:t xml:space="preserve">per </w:t>
      </w:r>
      <w:r w:rsidRPr="0085224A">
        <w:rPr>
          <w:sz w:val="28"/>
          <w:szCs w:val="28"/>
        </w:rPr>
        <w:t>l’azione di due fattori: 1) la produzione di mezzi di trasporto, che a causa di un diverso posizionamento di gamma fra i Paesi, porta l’industria italiana a soffrire di meno la transizione ecologica e la carenza di semiconduttori</w:t>
      </w:r>
      <w:r w:rsidR="00E749CC" w:rsidRPr="0085224A">
        <w:rPr>
          <w:sz w:val="28"/>
          <w:szCs w:val="28"/>
        </w:rPr>
        <w:t>; 2) il</w:t>
      </w:r>
      <w:r w:rsidRPr="0085224A">
        <w:rPr>
          <w:sz w:val="28"/>
          <w:szCs w:val="28"/>
        </w:rPr>
        <w:t> traino dell’export</w:t>
      </w:r>
      <w:r w:rsidR="00E749CC" w:rsidRPr="0085224A">
        <w:rPr>
          <w:sz w:val="28"/>
          <w:szCs w:val="28"/>
        </w:rPr>
        <w:t xml:space="preserve"> </w:t>
      </w:r>
      <w:r w:rsidRPr="0085224A">
        <w:rPr>
          <w:sz w:val="28"/>
          <w:szCs w:val="28"/>
        </w:rPr>
        <w:t>del comparto dell’alimentare, nel quale l’Italia detiene un vantaggio comparato e che è risultato meno sfavorito durante la pandemia, e della filiera attivata dalle costruzioni</w:t>
      </w:r>
      <w:r w:rsidR="00E749CC" w:rsidRPr="0085224A">
        <w:rPr>
          <w:sz w:val="28"/>
          <w:szCs w:val="28"/>
        </w:rPr>
        <w:t>;</w:t>
      </w:r>
    </w:p>
    <w:p w:rsidR="00D738FC" w:rsidRPr="0085224A" w:rsidRDefault="00E749CC" w:rsidP="00667AAD">
      <w:pPr>
        <w:pStyle w:val="Paragrafoelenco"/>
        <w:numPr>
          <w:ilvl w:val="0"/>
          <w:numId w:val="11"/>
        </w:numPr>
        <w:shd w:val="clear" w:color="auto" w:fill="FFFFFF"/>
        <w:spacing w:after="0" w:line="276" w:lineRule="auto"/>
        <w:ind w:left="360"/>
        <w:jc w:val="both"/>
        <w:textAlignment w:val="baseline"/>
        <w:outlineLvl w:val="1"/>
        <w:rPr>
          <w:sz w:val="28"/>
          <w:szCs w:val="28"/>
        </w:rPr>
      </w:pPr>
      <w:r w:rsidRPr="0085224A">
        <w:rPr>
          <w:sz w:val="28"/>
          <w:szCs w:val="28"/>
        </w:rPr>
        <w:t xml:space="preserve">sul fronte inflattivo, </w:t>
      </w:r>
      <w:r w:rsidRPr="00D1563E">
        <w:rPr>
          <w:b/>
          <w:sz w:val="28"/>
          <w:szCs w:val="28"/>
        </w:rPr>
        <w:t>l’a</w:t>
      </w:r>
      <w:r w:rsidR="00D738FC" w:rsidRPr="00D1563E">
        <w:rPr>
          <w:b/>
          <w:sz w:val="28"/>
          <w:szCs w:val="28"/>
        </w:rPr>
        <w:t xml:space="preserve">umento </w:t>
      </w:r>
      <w:r w:rsidRPr="00D1563E">
        <w:rPr>
          <w:b/>
          <w:sz w:val="28"/>
          <w:szCs w:val="28"/>
        </w:rPr>
        <w:t xml:space="preserve">dei prezzi </w:t>
      </w:r>
      <w:r w:rsidR="00D738FC" w:rsidRPr="00D1563E">
        <w:rPr>
          <w:b/>
          <w:sz w:val="28"/>
          <w:szCs w:val="28"/>
        </w:rPr>
        <w:t>è ancora in larga misura assorbito dai margini delle imprese</w:t>
      </w:r>
      <w:r w:rsidRPr="0085224A">
        <w:rPr>
          <w:sz w:val="28"/>
          <w:szCs w:val="28"/>
        </w:rPr>
        <w:t xml:space="preserve">, tese </w:t>
      </w:r>
      <w:r w:rsidR="00D738FC" w:rsidRPr="0085224A">
        <w:rPr>
          <w:sz w:val="28"/>
          <w:szCs w:val="28"/>
        </w:rPr>
        <w:t xml:space="preserve">a privilegiare </w:t>
      </w:r>
      <w:r w:rsidRPr="0085224A">
        <w:rPr>
          <w:sz w:val="28"/>
          <w:szCs w:val="28"/>
        </w:rPr>
        <w:t>le relazioni con la</w:t>
      </w:r>
      <w:r w:rsidR="00D738FC" w:rsidRPr="0085224A">
        <w:rPr>
          <w:sz w:val="28"/>
          <w:szCs w:val="28"/>
        </w:rPr>
        <w:t xml:space="preserve"> clientela</w:t>
      </w:r>
      <w:r w:rsidR="00120734" w:rsidRPr="0085224A">
        <w:rPr>
          <w:sz w:val="28"/>
          <w:szCs w:val="28"/>
        </w:rPr>
        <w:t xml:space="preserve">; tale </w:t>
      </w:r>
      <w:r w:rsidRPr="0085224A">
        <w:rPr>
          <w:sz w:val="28"/>
          <w:szCs w:val="28"/>
        </w:rPr>
        <w:t xml:space="preserve">azione </w:t>
      </w:r>
      <w:r w:rsidR="00120734" w:rsidRPr="0085224A">
        <w:rPr>
          <w:sz w:val="28"/>
          <w:szCs w:val="28"/>
        </w:rPr>
        <w:t xml:space="preserve">è </w:t>
      </w:r>
      <w:r w:rsidRPr="0085224A">
        <w:rPr>
          <w:sz w:val="28"/>
          <w:szCs w:val="28"/>
        </w:rPr>
        <w:t xml:space="preserve">resa possibile </w:t>
      </w:r>
      <w:r w:rsidR="00120734" w:rsidRPr="0085224A">
        <w:rPr>
          <w:sz w:val="28"/>
          <w:szCs w:val="28"/>
        </w:rPr>
        <w:t xml:space="preserve">dal buon livello medio di patrimonializzazione che </w:t>
      </w:r>
      <w:r w:rsidRPr="0085224A">
        <w:rPr>
          <w:sz w:val="28"/>
          <w:szCs w:val="28"/>
        </w:rPr>
        <w:t xml:space="preserve">le imprese </w:t>
      </w:r>
      <w:r w:rsidR="00120734" w:rsidRPr="0085224A">
        <w:rPr>
          <w:sz w:val="28"/>
          <w:szCs w:val="28"/>
        </w:rPr>
        <w:t xml:space="preserve">hanno perseguito negli scorsi anni </w:t>
      </w:r>
      <w:r w:rsidR="00D738FC" w:rsidRPr="0085224A">
        <w:rPr>
          <w:sz w:val="28"/>
          <w:szCs w:val="28"/>
        </w:rPr>
        <w:t>e</w:t>
      </w:r>
      <w:r w:rsidR="00120734" w:rsidRPr="0085224A">
        <w:rPr>
          <w:sz w:val="28"/>
          <w:szCs w:val="28"/>
        </w:rPr>
        <w:t xml:space="preserve"> sul fatto di poter </w:t>
      </w:r>
      <w:r w:rsidRPr="0085224A">
        <w:rPr>
          <w:sz w:val="28"/>
          <w:szCs w:val="28"/>
        </w:rPr>
        <w:t xml:space="preserve">contare su </w:t>
      </w:r>
      <w:r w:rsidR="00D738FC" w:rsidRPr="0085224A">
        <w:rPr>
          <w:sz w:val="28"/>
          <w:szCs w:val="28"/>
        </w:rPr>
        <w:t xml:space="preserve">profitti ancora robusti. </w:t>
      </w:r>
    </w:p>
    <w:p w:rsidR="00BF459F" w:rsidRDefault="00BF459F" w:rsidP="00667AAD">
      <w:pPr>
        <w:spacing w:line="276" w:lineRule="auto"/>
        <w:jc w:val="both"/>
        <w:rPr>
          <w:sz w:val="28"/>
          <w:szCs w:val="28"/>
        </w:rPr>
      </w:pPr>
    </w:p>
    <w:p w:rsidR="00667AAD" w:rsidRDefault="00667AAD" w:rsidP="00667AA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Cogliamo l’occasione per porgere a tutti i nostri migliori auguri per l’anno appena iniziato ed i nostri più cordiali saluti.</w:t>
      </w:r>
    </w:p>
    <w:p w:rsidR="00993A04" w:rsidRDefault="00993A04" w:rsidP="00667AAD">
      <w:pPr>
        <w:spacing w:line="276" w:lineRule="auto"/>
        <w:jc w:val="both"/>
        <w:rPr>
          <w:sz w:val="28"/>
          <w:szCs w:val="28"/>
        </w:rPr>
      </w:pPr>
    </w:p>
    <w:p w:rsidR="00993A04" w:rsidRPr="0085224A" w:rsidRDefault="00993A04" w:rsidP="00993A04">
      <w:pPr>
        <w:spacing w:line="276" w:lineRule="auto"/>
        <w:rPr>
          <w:sz w:val="28"/>
          <w:szCs w:val="28"/>
        </w:rPr>
      </w:pPr>
      <w:r>
        <w:rPr>
          <w:rFonts w:ascii="Arial" w:hAnsi="Arial" w:cs="Arial"/>
          <w:color w:val="6F6F6F"/>
          <w:sz w:val="18"/>
          <w:szCs w:val="18"/>
          <w:shd w:val="clear" w:color="auto" w:fill="FFFFFF"/>
        </w:rPr>
        <w:t>Prima dell’adesione leggere la documentazione di offerta e il documento per gli investitori (KIID).</w:t>
      </w:r>
      <w:r>
        <w:rPr>
          <w:rFonts w:ascii="Arial" w:hAnsi="Arial" w:cs="Arial"/>
          <w:color w:val="6F6F6F"/>
          <w:sz w:val="18"/>
          <w:szCs w:val="18"/>
        </w:rPr>
        <w:br/>
      </w:r>
      <w:r>
        <w:rPr>
          <w:rFonts w:ascii="Arial" w:hAnsi="Arial" w:cs="Arial"/>
          <w:color w:val="6F6F6F"/>
          <w:sz w:val="18"/>
          <w:szCs w:val="18"/>
          <w:shd w:val="clear" w:color="auto" w:fill="FFFFFF"/>
        </w:rPr>
        <w:t>I rendimenti passati non sono garanzia di quelli futuri.</w:t>
      </w:r>
      <w:r>
        <w:rPr>
          <w:rFonts w:ascii="Arial" w:hAnsi="Arial" w:cs="Arial"/>
          <w:color w:val="6F6F6F"/>
          <w:sz w:val="18"/>
          <w:szCs w:val="18"/>
        </w:rPr>
        <w:br/>
      </w:r>
      <w:r>
        <w:rPr>
          <w:rFonts w:ascii="Arial" w:hAnsi="Arial" w:cs="Arial"/>
          <w:color w:val="6F6F6F"/>
          <w:sz w:val="18"/>
          <w:szCs w:val="18"/>
          <w:shd w:val="clear" w:color="auto" w:fill="FFFFFF"/>
        </w:rPr>
        <w:t>Il presente messaggio non costituisce sollecitazione all’investimento.</w:t>
      </w:r>
    </w:p>
    <w:sectPr w:rsidR="00993A04" w:rsidRPr="0085224A" w:rsidSect="00764135"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0.25pt;height:167.25pt" o:bullet="t">
        <v:imagedata r:id="rId1" o:title="punto"/>
      </v:shape>
    </w:pict>
  </w:numPicBullet>
  <w:numPicBullet w:numPicBulletId="1">
    <w:pict>
      <v:shape id="_x0000_i1029" type="#_x0000_t75" style="width:9pt;height:9pt" o:bullet="t">
        <v:imagedata r:id="rId2" o:title="BD10255_"/>
      </v:shape>
    </w:pict>
  </w:numPicBullet>
  <w:abstractNum w:abstractNumId="0">
    <w:nsid w:val="0B8F2790"/>
    <w:multiLevelType w:val="hybridMultilevel"/>
    <w:tmpl w:val="F4B8E9AE"/>
    <w:lvl w:ilvl="0" w:tplc="6BB0BDB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9E5A6296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3142F1"/>
    <w:multiLevelType w:val="hybridMultilevel"/>
    <w:tmpl w:val="EFCAAA66"/>
    <w:lvl w:ilvl="0" w:tplc="6BB0BDB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7C1319"/>
    <w:multiLevelType w:val="hybridMultilevel"/>
    <w:tmpl w:val="BD9A4D24"/>
    <w:lvl w:ilvl="0" w:tplc="6BB0BDB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833500"/>
    <w:multiLevelType w:val="hybridMultilevel"/>
    <w:tmpl w:val="1316A3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D3794"/>
    <w:multiLevelType w:val="hybridMultilevel"/>
    <w:tmpl w:val="4FFCE1B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87428B"/>
    <w:multiLevelType w:val="hybridMultilevel"/>
    <w:tmpl w:val="0C4E8A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943402"/>
    <w:multiLevelType w:val="hybridMultilevel"/>
    <w:tmpl w:val="EABE3126"/>
    <w:lvl w:ilvl="0" w:tplc="6BB0BDB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847820"/>
    <w:multiLevelType w:val="hybridMultilevel"/>
    <w:tmpl w:val="582268F4"/>
    <w:lvl w:ilvl="0" w:tplc="6BB0BD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C39F0"/>
    <w:multiLevelType w:val="multilevel"/>
    <w:tmpl w:val="BCA6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295746"/>
    <w:multiLevelType w:val="multilevel"/>
    <w:tmpl w:val="A0CA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BD2391"/>
    <w:multiLevelType w:val="multilevel"/>
    <w:tmpl w:val="6B0E9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320C26"/>
    <w:rsid w:val="00017226"/>
    <w:rsid w:val="000A6D29"/>
    <w:rsid w:val="000B6C43"/>
    <w:rsid w:val="00120734"/>
    <w:rsid w:val="001817BE"/>
    <w:rsid w:val="001A59C0"/>
    <w:rsid w:val="001D6737"/>
    <w:rsid w:val="001E5CE4"/>
    <w:rsid w:val="002B3D81"/>
    <w:rsid w:val="002B74D6"/>
    <w:rsid w:val="002C05AD"/>
    <w:rsid w:val="00320C26"/>
    <w:rsid w:val="00327108"/>
    <w:rsid w:val="00341B69"/>
    <w:rsid w:val="00347D5A"/>
    <w:rsid w:val="003D460E"/>
    <w:rsid w:val="00420D0B"/>
    <w:rsid w:val="00447A18"/>
    <w:rsid w:val="004C1F56"/>
    <w:rsid w:val="004D1598"/>
    <w:rsid w:val="0052567E"/>
    <w:rsid w:val="0055439C"/>
    <w:rsid w:val="006037C1"/>
    <w:rsid w:val="006535F8"/>
    <w:rsid w:val="0066314E"/>
    <w:rsid w:val="00667AAD"/>
    <w:rsid w:val="00694B4C"/>
    <w:rsid w:val="006D0293"/>
    <w:rsid w:val="006E1B81"/>
    <w:rsid w:val="006F7699"/>
    <w:rsid w:val="00764135"/>
    <w:rsid w:val="007736BF"/>
    <w:rsid w:val="008011DA"/>
    <w:rsid w:val="00820C82"/>
    <w:rsid w:val="0084102F"/>
    <w:rsid w:val="0085224A"/>
    <w:rsid w:val="00861D72"/>
    <w:rsid w:val="0088425C"/>
    <w:rsid w:val="008A27CA"/>
    <w:rsid w:val="008B7DE8"/>
    <w:rsid w:val="008F05C2"/>
    <w:rsid w:val="00903FC1"/>
    <w:rsid w:val="00993A04"/>
    <w:rsid w:val="00996DE8"/>
    <w:rsid w:val="009E5F4C"/>
    <w:rsid w:val="009F1F1F"/>
    <w:rsid w:val="009F28D7"/>
    <w:rsid w:val="00A226BD"/>
    <w:rsid w:val="00A36045"/>
    <w:rsid w:val="00AA469D"/>
    <w:rsid w:val="00AB4D40"/>
    <w:rsid w:val="00AC676F"/>
    <w:rsid w:val="00AC77DE"/>
    <w:rsid w:val="00B111EB"/>
    <w:rsid w:val="00B1655F"/>
    <w:rsid w:val="00B36A51"/>
    <w:rsid w:val="00B74DF6"/>
    <w:rsid w:val="00BA03B9"/>
    <w:rsid w:val="00BB405B"/>
    <w:rsid w:val="00BF459F"/>
    <w:rsid w:val="00C56E56"/>
    <w:rsid w:val="00C66668"/>
    <w:rsid w:val="00CC7532"/>
    <w:rsid w:val="00CD6BEA"/>
    <w:rsid w:val="00CF7F3E"/>
    <w:rsid w:val="00D1563E"/>
    <w:rsid w:val="00D30CD3"/>
    <w:rsid w:val="00D456C3"/>
    <w:rsid w:val="00D60A7E"/>
    <w:rsid w:val="00D64869"/>
    <w:rsid w:val="00D738FC"/>
    <w:rsid w:val="00D93171"/>
    <w:rsid w:val="00DA0666"/>
    <w:rsid w:val="00DF3BBA"/>
    <w:rsid w:val="00E01E0F"/>
    <w:rsid w:val="00E21D0B"/>
    <w:rsid w:val="00E34814"/>
    <w:rsid w:val="00E60013"/>
    <w:rsid w:val="00E749CC"/>
    <w:rsid w:val="00ED2F16"/>
    <w:rsid w:val="00EF2BE7"/>
    <w:rsid w:val="00EF341D"/>
    <w:rsid w:val="00F24717"/>
    <w:rsid w:val="00F40A6E"/>
    <w:rsid w:val="00F4544C"/>
    <w:rsid w:val="00FB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4135"/>
    <w:rPr>
      <w:lang w:val="it-IT"/>
    </w:rPr>
  </w:style>
  <w:style w:type="paragraph" w:styleId="Titolo5">
    <w:name w:val="heading 5"/>
    <w:basedOn w:val="Normale"/>
    <w:link w:val="Titolo5Carattere"/>
    <w:uiPriority w:val="9"/>
    <w:qFormat/>
    <w:rsid w:val="006535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6535F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1">
    <w:name w:val="p1"/>
    <w:basedOn w:val="Normale"/>
    <w:rsid w:val="0065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nfasicorsivo">
    <w:name w:val="Emphasis"/>
    <w:basedOn w:val="Carpredefinitoparagrafo"/>
    <w:uiPriority w:val="20"/>
    <w:qFormat/>
    <w:rsid w:val="006535F8"/>
    <w:rPr>
      <w:i/>
      <w:iCs/>
    </w:rPr>
  </w:style>
  <w:style w:type="character" w:styleId="Enfasigrassetto">
    <w:name w:val="Strong"/>
    <w:basedOn w:val="Carpredefinitoparagrafo"/>
    <w:uiPriority w:val="22"/>
    <w:qFormat/>
    <w:rsid w:val="006535F8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5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C66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Guerrieri</dc:creator>
  <cp:keywords/>
  <dc:description/>
  <cp:lastModifiedBy>Alice</cp:lastModifiedBy>
  <cp:revision>39</cp:revision>
  <dcterms:created xsi:type="dcterms:W3CDTF">2022-01-12T13:31:00Z</dcterms:created>
  <dcterms:modified xsi:type="dcterms:W3CDTF">2022-01-13T10:25:00Z</dcterms:modified>
</cp:coreProperties>
</file>